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870B1" w14:textId="77777777" w:rsidR="0043244E" w:rsidRPr="00762280" w:rsidRDefault="0043244E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0F23C0" w14:textId="5D9B54FF" w:rsidR="0043244E" w:rsidRPr="00762280" w:rsidRDefault="0043244E" w:rsidP="00762280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Articulation of Hypothesis:</w:t>
      </w:r>
    </w:p>
    <w:p w14:paraId="16520CCD" w14:textId="30523CDA" w:rsidR="00C41E48" w:rsidRPr="00762280" w:rsidRDefault="008C5F2E" w:rsidP="00762280">
      <w:pPr>
        <w:spacing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E56215" w:rsidRPr="00762280">
        <w:rPr>
          <w:rFonts w:ascii="Arial" w:eastAsia="Times New Roman" w:hAnsi="Arial" w:cs="Arial"/>
          <w:color w:val="000000"/>
          <w:sz w:val="24"/>
          <w:szCs w:val="24"/>
        </w:rPr>
        <w:t>achine learning</w:t>
      </w:r>
      <w:r w:rsidR="0003455B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56215" w:rsidRPr="00762280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03455B" w:rsidRPr="00762280">
        <w:rPr>
          <w:rFonts w:ascii="Arial" w:eastAsia="Times New Roman" w:hAnsi="Arial" w:cs="Arial"/>
          <w:color w:val="000000"/>
          <w:sz w:val="24"/>
          <w:szCs w:val="24"/>
        </w:rPr>
        <w:t>L)</w:t>
      </w:r>
      <w:r w:rsidR="008F3D19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can detect 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hip labral tears</w:t>
      </w:r>
      <w:r w:rsidR="0076668E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F3D19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r w:rsidR="00156491">
        <w:rPr>
          <w:rFonts w:ascii="Arial" w:eastAsia="Times New Roman" w:hAnsi="Arial" w:cs="Arial"/>
          <w:color w:val="000000"/>
          <w:sz w:val="24"/>
          <w:szCs w:val="24"/>
        </w:rPr>
        <w:t xml:space="preserve">plain </w:t>
      </w:r>
      <w:r w:rsidR="008F3D19" w:rsidRPr="00762280">
        <w:rPr>
          <w:rFonts w:ascii="Arial" w:eastAsia="Times New Roman" w:hAnsi="Arial" w:cs="Arial"/>
          <w:color w:val="000000"/>
          <w:sz w:val="24"/>
          <w:szCs w:val="24"/>
        </w:rPr>
        <w:t>magnetic resonance imaging (MRI</w:t>
      </w:r>
      <w:r w:rsidR="0003455B" w:rsidRPr="00762280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 xml:space="preserve"> in adult patients with </w:t>
      </w:r>
      <w:r w:rsidR="00A571F1">
        <w:rPr>
          <w:rFonts w:ascii="Arial" w:eastAsia="Times New Roman" w:hAnsi="Arial" w:cs="Arial"/>
          <w:color w:val="000000"/>
          <w:sz w:val="24"/>
          <w:szCs w:val="24"/>
        </w:rPr>
        <w:t xml:space="preserve">symptomatic </w:t>
      </w:r>
      <w:proofErr w:type="spellStart"/>
      <w:r w:rsidR="00A571F1">
        <w:rPr>
          <w:rFonts w:ascii="Arial" w:eastAsia="Times New Roman" w:hAnsi="Arial" w:cs="Arial"/>
          <w:color w:val="000000"/>
          <w:sz w:val="24"/>
          <w:szCs w:val="24"/>
        </w:rPr>
        <w:t>femoroacetabular</w:t>
      </w:r>
      <w:proofErr w:type="spellEnd"/>
      <w:r w:rsidR="00A571F1">
        <w:rPr>
          <w:rFonts w:ascii="Arial" w:eastAsia="Times New Roman" w:hAnsi="Arial" w:cs="Arial"/>
          <w:color w:val="000000"/>
          <w:sz w:val="24"/>
          <w:szCs w:val="24"/>
        </w:rPr>
        <w:t xml:space="preserve"> impingement (FAI).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75311C2" w14:textId="7B5397F8" w:rsidR="0043244E" w:rsidRPr="00762280" w:rsidRDefault="0043244E" w:rsidP="00762280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Operationalization of Constructs (X, Y, P) </w:t>
      </w:r>
    </w:p>
    <w:p w14:paraId="3D1083D4" w14:textId="1DE444CE" w:rsidR="00212B8B" w:rsidRPr="00762280" w:rsidRDefault="0043244E" w:rsidP="00762280">
      <w:pPr>
        <w:spacing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>X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C41E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The purported causative agent: </w:t>
      </w:r>
    </w:p>
    <w:p w14:paraId="6FC41A15" w14:textId="06BCCCDB" w:rsidR="0042479E" w:rsidRPr="00762280" w:rsidRDefault="00EB289A" w:rsidP="00762280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Artificial intelligence </w:t>
      </w:r>
      <w:r w:rsidR="00C41E48">
        <w:rPr>
          <w:rFonts w:ascii="Arial" w:eastAsia="Times New Roman" w:hAnsi="Arial" w:cs="Arial"/>
          <w:color w:val="000000"/>
          <w:sz w:val="24"/>
          <w:szCs w:val="24"/>
        </w:rPr>
        <w:t xml:space="preserve">(AI)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will implement deep </w:t>
      </w:r>
      <w:r w:rsidR="0042479E" w:rsidRPr="00762280">
        <w:rPr>
          <w:rFonts w:ascii="Arial" w:eastAsia="Times New Roman" w:hAnsi="Arial" w:cs="Arial"/>
          <w:color w:val="000000"/>
          <w:sz w:val="24"/>
          <w:szCs w:val="24"/>
        </w:rPr>
        <w:t>learning (</w:t>
      </w:r>
      <w:r w:rsidR="00E56215" w:rsidRPr="00762280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42479E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L) </w:t>
      </w:r>
      <w:r w:rsidR="00E56215" w:rsidRPr="00762280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76668E" w:rsidRPr="00762280">
        <w:rPr>
          <w:rFonts w:ascii="Arial" w:eastAsia="Times New Roman" w:hAnsi="Arial" w:cs="Arial"/>
          <w:color w:val="000000"/>
          <w:sz w:val="24"/>
          <w:szCs w:val="24"/>
        </w:rPr>
        <w:t>odel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E5621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with a </w:t>
      </w:r>
      <w:r w:rsidR="0042479E" w:rsidRPr="00762280">
        <w:rPr>
          <w:rFonts w:ascii="Arial" w:eastAsia="Times New Roman" w:hAnsi="Arial" w:cs="Arial"/>
          <w:color w:val="000000"/>
          <w:sz w:val="24"/>
          <w:szCs w:val="24"/>
        </w:rPr>
        <w:t>convolutional neural network</w:t>
      </w:r>
      <w:r w:rsidR="00E5621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2479E" w:rsidRPr="00762280">
        <w:rPr>
          <w:rFonts w:ascii="Arial" w:eastAsia="Times New Roman" w:hAnsi="Arial" w:cs="Arial"/>
          <w:color w:val="000000"/>
          <w:sz w:val="24"/>
          <w:szCs w:val="24"/>
        </w:rPr>
        <w:t>(CNN)</w:t>
      </w:r>
      <w:r w:rsidR="00E5621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135" w:rsidRPr="00762280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 xml:space="preserve"> accurately detect</w:t>
      </w:r>
      <w:r w:rsidR="001C613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labral tears on </w:t>
      </w:r>
      <w:r w:rsidR="00156491">
        <w:rPr>
          <w:rFonts w:ascii="Arial" w:eastAsia="Times New Roman" w:hAnsi="Arial" w:cs="Arial"/>
          <w:color w:val="000000"/>
          <w:sz w:val="24"/>
          <w:szCs w:val="24"/>
        </w:rPr>
        <w:t xml:space="preserve">plain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hip</w:t>
      </w:r>
      <w:r w:rsidR="0042479E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13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MRIs </w:t>
      </w:r>
      <w:r w:rsidR="00C41E48">
        <w:rPr>
          <w:rFonts w:ascii="Arial" w:eastAsia="Times New Roman" w:hAnsi="Arial" w:cs="Arial"/>
          <w:color w:val="000000"/>
          <w:sz w:val="24"/>
          <w:szCs w:val="24"/>
        </w:rPr>
        <w:t>from</w:t>
      </w:r>
      <w:r w:rsidR="00C41E48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a 1.5Tesla</w:t>
      </w:r>
      <w:r w:rsidR="001C613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GE scanner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 xml:space="preserve"> in comparison to the gold standard magnetic resonance arthrogram (MRA)</w:t>
      </w:r>
      <w:r w:rsidR="0042479E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5621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E56AC6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tasks of the </w:t>
      </w:r>
      <w:r w:rsidR="00075510" w:rsidRPr="00762280">
        <w:rPr>
          <w:rFonts w:ascii="Arial" w:eastAsia="Times New Roman" w:hAnsi="Arial" w:cs="Arial"/>
          <w:color w:val="000000"/>
          <w:sz w:val="24"/>
          <w:szCs w:val="24"/>
        </w:rPr>
        <w:t>DL</w:t>
      </w:r>
      <w:r w:rsidR="00E56AC6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are detection, segmentation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75510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and classification</w:t>
      </w:r>
      <w:r w:rsidR="0076668E" w:rsidRPr="00762280">
        <w:rPr>
          <w:rFonts w:ascii="Arial" w:eastAsia="Times New Roman" w:hAnsi="Arial" w:cs="Arial"/>
          <w:color w:val="000000"/>
          <w:sz w:val="24"/>
          <w:szCs w:val="24"/>
        </w:rPr>
        <w:t>(1)</w:t>
      </w:r>
      <w:r w:rsidR="00E56AC6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3B14A5" w:rsidRPr="00762280">
        <w:rPr>
          <w:rFonts w:ascii="Arial" w:eastAsia="Times New Roman" w:hAnsi="Arial" w:cs="Arial"/>
          <w:color w:val="000000"/>
          <w:sz w:val="24"/>
          <w:szCs w:val="24"/>
        </w:rPr>
        <w:t>The first algorithm is d</w:t>
      </w:r>
      <w:r w:rsidR="00E56AC6" w:rsidRPr="00762280">
        <w:rPr>
          <w:rFonts w:ascii="Arial" w:eastAsia="Times New Roman" w:hAnsi="Arial" w:cs="Arial"/>
          <w:color w:val="000000"/>
          <w:sz w:val="24"/>
          <w:szCs w:val="24"/>
        </w:rPr>
        <w:t>etection</w:t>
      </w:r>
      <w:r w:rsidR="003B14A5" w:rsidRPr="00762280">
        <w:rPr>
          <w:rFonts w:ascii="Arial" w:eastAsia="Times New Roman" w:hAnsi="Arial" w:cs="Arial"/>
          <w:color w:val="000000"/>
          <w:sz w:val="24"/>
          <w:szCs w:val="24"/>
        </w:rPr>
        <w:t>, which</w:t>
      </w:r>
      <w:r w:rsidR="00E56AC6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will focus on anatomic landmarks of the hip joint. </w:t>
      </w:r>
      <w:r w:rsidR="003B14A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The second is </w:t>
      </w:r>
      <w:r w:rsidR="00075510" w:rsidRPr="00762280">
        <w:rPr>
          <w:rFonts w:ascii="Arial" w:eastAsia="Times New Roman" w:hAnsi="Arial" w:cs="Arial"/>
          <w:color w:val="000000"/>
          <w:sz w:val="24"/>
          <w:szCs w:val="24"/>
        </w:rPr>
        <w:t>segmentation to identify the area of interest, the labrum.  Lastly, is classif</w:t>
      </w:r>
      <w:r w:rsidR="00A3653F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ication to describe morphologic characteristics of the labrum.  </w:t>
      </w:r>
    </w:p>
    <w:p w14:paraId="0A042BF0" w14:textId="430C66DB" w:rsidR="0042479E" w:rsidRPr="00762280" w:rsidRDefault="0043244E" w:rsidP="00762280">
      <w:pPr>
        <w:spacing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–The outcome:</w:t>
      </w:r>
    </w:p>
    <w:p w14:paraId="4DD2AD2F" w14:textId="5D8427B0" w:rsidR="00A3653F" w:rsidRPr="00762280" w:rsidRDefault="00A3653F" w:rsidP="00762280">
      <w:pPr>
        <w:spacing w:line="24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i/>
          <w:iCs/>
          <w:color w:val="000000"/>
          <w:sz w:val="24"/>
          <w:szCs w:val="24"/>
        </w:rPr>
        <w:t>Detection</w:t>
      </w:r>
    </w:p>
    <w:p w14:paraId="31F38512" w14:textId="15CCF714" w:rsidR="00A3653F" w:rsidRPr="00762280" w:rsidRDefault="00A3653F" w:rsidP="00762280">
      <w:pPr>
        <w:spacing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C41E48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Capable to effectively detect landmarks</w:t>
      </w:r>
      <w:r w:rsidR="00235CF2" w:rsidRPr="0076228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991EBCB" w14:textId="732F735C" w:rsidR="00A3653F" w:rsidRPr="00762280" w:rsidRDefault="00A3653F" w:rsidP="00762280">
      <w:pPr>
        <w:spacing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Y1</w:t>
      </w:r>
      <w:r w:rsidR="00C41E48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Presence of anatomic variants can lead to errors.</w:t>
      </w:r>
    </w:p>
    <w:p w14:paraId="54454F3F" w14:textId="7085B6A5" w:rsidR="00A3653F" w:rsidRPr="00762280" w:rsidRDefault="00A3653F" w:rsidP="00762280">
      <w:pPr>
        <w:spacing w:line="24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i/>
          <w:iCs/>
          <w:color w:val="000000"/>
          <w:sz w:val="24"/>
          <w:szCs w:val="24"/>
        </w:rPr>
        <w:t>Segmentation</w:t>
      </w:r>
    </w:p>
    <w:p w14:paraId="54BCD61F" w14:textId="7E6979FE" w:rsidR="00A3653F" w:rsidRPr="00762280" w:rsidRDefault="00A3653F" w:rsidP="00762280">
      <w:pPr>
        <w:spacing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C41E48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5CF2" w:rsidRPr="00762280">
        <w:rPr>
          <w:rFonts w:ascii="Arial" w:eastAsia="Times New Roman" w:hAnsi="Arial" w:cs="Arial"/>
          <w:color w:val="000000"/>
          <w:sz w:val="24"/>
          <w:szCs w:val="24"/>
        </w:rPr>
        <w:t>Identify labral tissue with efficiency.</w:t>
      </w:r>
    </w:p>
    <w:p w14:paraId="45E2F1E4" w14:textId="2F7A02EE" w:rsidR="00235CF2" w:rsidRPr="00762280" w:rsidRDefault="00235CF2" w:rsidP="00762280">
      <w:pPr>
        <w:spacing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Y1</w:t>
      </w:r>
      <w:r w:rsidR="00C41E48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alcification/ossification 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within the labrum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can affect int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er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pretation.</w:t>
      </w:r>
    </w:p>
    <w:p w14:paraId="51242B81" w14:textId="69F715B8" w:rsidR="00235CF2" w:rsidRPr="00762280" w:rsidRDefault="00235CF2" w:rsidP="00762280">
      <w:pPr>
        <w:spacing w:line="24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i/>
          <w:iCs/>
          <w:color w:val="000000"/>
          <w:sz w:val="24"/>
          <w:szCs w:val="24"/>
        </w:rPr>
        <w:t>Classification</w:t>
      </w:r>
    </w:p>
    <w:p w14:paraId="7C37FE9C" w14:textId="795692F4" w:rsidR="0044445E" w:rsidRPr="00762280" w:rsidRDefault="00235CF2" w:rsidP="00762280">
      <w:pPr>
        <w:spacing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447710">
        <w:rPr>
          <w:rFonts w:ascii="Arial" w:eastAsia="Times New Roman" w:hAnsi="Arial" w:cs="Arial"/>
          <w:color w:val="000000"/>
          <w:sz w:val="24"/>
          <w:szCs w:val="24"/>
        </w:rPr>
        <w:t xml:space="preserve"> – 1) </w:t>
      </w:r>
      <w:r w:rsidR="0044445E" w:rsidRPr="00762280">
        <w:rPr>
          <w:rFonts w:ascii="Arial" w:eastAsia="Times New Roman" w:hAnsi="Arial" w:cs="Arial"/>
          <w:color w:val="000000"/>
          <w:sz w:val="24"/>
          <w:szCs w:val="24"/>
        </w:rPr>
        <w:t>Normal</w:t>
      </w:r>
    </w:p>
    <w:p w14:paraId="6E8EA5E4" w14:textId="09509381" w:rsidR="00447710" w:rsidRPr="00762280" w:rsidRDefault="00447710" w:rsidP="00762280">
      <w:pPr>
        <w:ind w:left="720" w:firstLine="720"/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Y – 2) </w:t>
      </w:r>
      <w:r w:rsidR="0044445E" w:rsidRPr="00762280">
        <w:rPr>
          <w:rFonts w:ascii="Arial" w:eastAsia="Times New Roman" w:hAnsi="Arial" w:cs="Arial"/>
          <w:color w:val="000000"/>
          <w:sz w:val="24"/>
          <w:szCs w:val="24"/>
        </w:rPr>
        <w:t>Partial tear</w:t>
      </w:r>
    </w:p>
    <w:p w14:paraId="07C82667" w14:textId="127313E5" w:rsidR="0044445E" w:rsidRPr="00762280" w:rsidRDefault="0044445E" w:rsidP="00762280">
      <w:pPr>
        <w:pStyle w:val="ListParagraph"/>
        <w:numPr>
          <w:ilvl w:val="1"/>
          <w:numId w:val="4"/>
        </w:numPr>
        <w:spacing w:line="240" w:lineRule="auto"/>
        <w:ind w:left="243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+/- </w:t>
      </w:r>
      <w:proofErr w:type="spellStart"/>
      <w:r w:rsidRPr="00762280">
        <w:rPr>
          <w:rFonts w:ascii="Arial" w:eastAsia="Times New Roman" w:hAnsi="Arial" w:cs="Arial"/>
          <w:color w:val="000000"/>
          <w:sz w:val="24"/>
          <w:szCs w:val="24"/>
        </w:rPr>
        <w:t>paralabral</w:t>
      </w:r>
      <w:proofErr w:type="spellEnd"/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cyst</w:t>
      </w:r>
    </w:p>
    <w:p w14:paraId="63CEEB24" w14:textId="65C438FA" w:rsidR="0044445E" w:rsidRPr="00762280" w:rsidRDefault="0044445E" w:rsidP="00762280">
      <w:pPr>
        <w:pStyle w:val="ListParagraph"/>
        <w:numPr>
          <w:ilvl w:val="1"/>
          <w:numId w:val="4"/>
        </w:numPr>
        <w:spacing w:line="240" w:lineRule="auto"/>
        <w:ind w:left="243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+/- chondral lesion</w:t>
      </w:r>
    </w:p>
    <w:p w14:paraId="42C15E8A" w14:textId="740C7E0C" w:rsidR="00235CF2" w:rsidRPr="00762280" w:rsidRDefault="00447710" w:rsidP="00762280">
      <w:pPr>
        <w:spacing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Y – 3) </w:t>
      </w:r>
      <w:r w:rsidR="0044445E" w:rsidRPr="00762280">
        <w:rPr>
          <w:rFonts w:ascii="Arial" w:eastAsia="Times New Roman" w:hAnsi="Arial" w:cs="Arial"/>
          <w:color w:val="000000"/>
          <w:sz w:val="24"/>
          <w:szCs w:val="24"/>
        </w:rPr>
        <w:t>Full-thickness tear</w:t>
      </w:r>
    </w:p>
    <w:p w14:paraId="226EDBFA" w14:textId="77777777" w:rsidR="0044445E" w:rsidRPr="00762280" w:rsidRDefault="0044445E" w:rsidP="00762280">
      <w:pPr>
        <w:pStyle w:val="ListParagraph"/>
        <w:numPr>
          <w:ilvl w:val="0"/>
          <w:numId w:val="8"/>
        </w:numPr>
        <w:spacing w:line="240" w:lineRule="auto"/>
        <w:ind w:left="243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+/- </w:t>
      </w:r>
      <w:proofErr w:type="spellStart"/>
      <w:r w:rsidRPr="00762280">
        <w:rPr>
          <w:rFonts w:ascii="Arial" w:eastAsia="Times New Roman" w:hAnsi="Arial" w:cs="Arial"/>
          <w:color w:val="000000"/>
          <w:sz w:val="24"/>
          <w:szCs w:val="24"/>
        </w:rPr>
        <w:t>paralabral</w:t>
      </w:r>
      <w:proofErr w:type="spellEnd"/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cyst</w:t>
      </w:r>
    </w:p>
    <w:p w14:paraId="11F9D180" w14:textId="0BEA6D34" w:rsidR="0044445E" w:rsidRPr="00762280" w:rsidRDefault="0044445E" w:rsidP="00762280">
      <w:pPr>
        <w:pStyle w:val="ListParagraph"/>
        <w:numPr>
          <w:ilvl w:val="0"/>
          <w:numId w:val="8"/>
        </w:numPr>
        <w:spacing w:line="240" w:lineRule="auto"/>
        <w:ind w:left="2430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+/- chondral lesion</w:t>
      </w:r>
    </w:p>
    <w:p w14:paraId="3B6C1CE9" w14:textId="2A297F16" w:rsidR="00A21F48" w:rsidRPr="00762280" w:rsidRDefault="00A21F48" w:rsidP="00762280">
      <w:pPr>
        <w:spacing w:line="240" w:lineRule="auto"/>
        <w:ind w:left="72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Y1</w:t>
      </w:r>
      <w:r w:rsidR="00447710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resence of artifact leading to a false positive</w:t>
      </w:r>
      <w:r w:rsidR="008C5F2E" w:rsidRPr="0076228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29ABEB7" w14:textId="77777777" w:rsidR="00A21F48" w:rsidRPr="00762280" w:rsidRDefault="00A21F48" w:rsidP="00A21F48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94BF7D0" w14:textId="19C8757E" w:rsidR="0044445E" w:rsidRPr="00762280" w:rsidRDefault="0044445E" w:rsidP="004444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–The sample:</w:t>
      </w:r>
    </w:p>
    <w:p w14:paraId="66E06FE5" w14:textId="452D2F8E" w:rsidR="00447710" w:rsidRDefault="00EB289A" w:rsidP="004444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Our study population includes patients 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 xml:space="preserve">presenting with the onset of painful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hip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 xml:space="preserve"> motion from activity </w:t>
      </w:r>
      <w:r w:rsidR="00A571F1">
        <w:rPr>
          <w:rFonts w:ascii="Arial" w:eastAsia="Times New Roman" w:hAnsi="Arial" w:cs="Arial"/>
          <w:color w:val="000000"/>
          <w:sz w:val="24"/>
          <w:szCs w:val="24"/>
        </w:rPr>
        <w:t xml:space="preserve">consistent with (FAI) 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 xml:space="preserve">and persisted for a minimum of 6 weeks and </w:t>
      </w:r>
      <w:r w:rsidR="00C27A04">
        <w:rPr>
          <w:rFonts w:ascii="Arial" w:eastAsia="Times New Roman" w:hAnsi="Arial" w:cs="Arial"/>
          <w:color w:val="000000"/>
          <w:sz w:val="24"/>
          <w:szCs w:val="24"/>
        </w:rPr>
        <w:t>a trial of conservative management (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>activity modification</w:t>
      </w:r>
      <w:r w:rsidR="00C27A04">
        <w:rPr>
          <w:rFonts w:ascii="Arial" w:eastAsia="Times New Roman" w:hAnsi="Arial" w:cs="Arial"/>
          <w:color w:val="000000"/>
          <w:sz w:val="24"/>
          <w:szCs w:val="24"/>
        </w:rPr>
        <w:t>, rest)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>.  The patients</w:t>
      </w:r>
      <w:r w:rsidR="00C27A04">
        <w:rPr>
          <w:rFonts w:ascii="Arial" w:eastAsia="Times New Roman" w:hAnsi="Arial" w:cs="Arial"/>
          <w:color w:val="000000"/>
          <w:sz w:val="24"/>
          <w:szCs w:val="24"/>
        </w:rPr>
        <w:t xml:space="preserve"> then underwent</w:t>
      </w:r>
      <w:r w:rsidR="00E64D89">
        <w:rPr>
          <w:rFonts w:ascii="Arial" w:eastAsia="Times New Roman" w:hAnsi="Arial" w:cs="Arial"/>
          <w:color w:val="000000"/>
          <w:sz w:val="24"/>
          <w:szCs w:val="24"/>
        </w:rPr>
        <w:t xml:space="preserve"> MRI </w:t>
      </w:r>
      <w:r w:rsidR="00C27A04">
        <w:rPr>
          <w:rFonts w:ascii="Arial" w:eastAsia="Times New Roman" w:hAnsi="Arial" w:cs="Arial"/>
          <w:color w:val="000000"/>
          <w:sz w:val="24"/>
          <w:szCs w:val="24"/>
        </w:rPr>
        <w:t xml:space="preserve">or MRA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to rule out a labral tear. </w:t>
      </w:r>
    </w:p>
    <w:p w14:paraId="4B34B5CA" w14:textId="4F2E5B1C" w:rsidR="00447710" w:rsidRDefault="00EB289A" w:rsidP="004444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Inclusion criteria</w:t>
      </w:r>
      <w:r w:rsidR="00447710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2F6CADC" w14:textId="2FB6E66C" w:rsidR="00447710" w:rsidRDefault="00A21F48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male </w:t>
      </w:r>
      <w:r w:rsidR="00447710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="00447710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female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patient </w:t>
      </w:r>
    </w:p>
    <w:p w14:paraId="16B27C07" w14:textId="7CC1F55C" w:rsidR="00662D1A" w:rsidRDefault="00662D1A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activity related hip pain</w:t>
      </w:r>
    </w:p>
    <w:p w14:paraId="1B3780BD" w14:textId="5006AFAD" w:rsidR="00A571F1" w:rsidRDefault="00662D1A" w:rsidP="00731AD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positive impingement test</w:t>
      </w:r>
    </w:p>
    <w:p w14:paraId="2B8E6155" w14:textId="05DD5A09" w:rsidR="00731AD0" w:rsidRPr="00731AD0" w:rsidRDefault="00731AD0" w:rsidP="00731AD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Alpha angle greater than 55 degrees on Dunn view radiograph and/or positive cross over sign on AP pelvis radiograph.</w:t>
      </w:r>
    </w:p>
    <w:p w14:paraId="2CE834FA" w14:textId="77777777" w:rsidR="00447710" w:rsidRDefault="00A21F48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ages 18 to 65 </w:t>
      </w:r>
    </w:p>
    <w:p w14:paraId="7EE6F0D3" w14:textId="3326676B" w:rsidR="00447710" w:rsidRDefault="00447710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MRI</w:t>
      </w:r>
      <w:r w:rsidR="00C27A04">
        <w:rPr>
          <w:rFonts w:ascii="Arial" w:eastAsia="Times New Roman" w:hAnsi="Arial" w:cs="Arial"/>
          <w:color w:val="000000"/>
          <w:sz w:val="24"/>
          <w:szCs w:val="24"/>
        </w:rPr>
        <w:t xml:space="preserve"> or MRA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4E06" w:rsidRPr="00762280">
        <w:rPr>
          <w:rFonts w:ascii="Arial" w:eastAsia="Times New Roman" w:hAnsi="Arial" w:cs="Arial"/>
          <w:color w:val="000000"/>
          <w:sz w:val="24"/>
          <w:szCs w:val="24"/>
        </w:rPr>
        <w:t>interpre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ted</w:t>
      </w:r>
      <w:r w:rsidR="00064E06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by a musculoskeletal board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064E06" w:rsidRPr="00762280">
        <w:rPr>
          <w:rFonts w:ascii="Arial" w:eastAsia="Times New Roman" w:hAnsi="Arial" w:cs="Arial"/>
          <w:color w:val="000000"/>
          <w:sz w:val="24"/>
          <w:szCs w:val="24"/>
        </w:rPr>
        <w:t>certified radiologist at the same facility</w:t>
      </w:r>
    </w:p>
    <w:p w14:paraId="193F38C9" w14:textId="567E6204" w:rsidR="00447710" w:rsidRDefault="00447710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41BC">
        <w:rPr>
          <w:rFonts w:ascii="Arial" w:eastAsia="Times New Roman" w:hAnsi="Arial" w:cs="Arial"/>
          <w:color w:val="000000"/>
          <w:sz w:val="24"/>
          <w:szCs w:val="24"/>
        </w:rPr>
        <w:t>MRI</w:t>
      </w:r>
      <w:r w:rsidR="00C27A04">
        <w:rPr>
          <w:rFonts w:ascii="Arial" w:eastAsia="Times New Roman" w:hAnsi="Arial" w:cs="Arial"/>
          <w:color w:val="000000"/>
          <w:sz w:val="24"/>
          <w:szCs w:val="24"/>
        </w:rPr>
        <w:t xml:space="preserve"> or MRA</w:t>
      </w:r>
      <w:r w:rsidRPr="00A941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from</w:t>
      </w:r>
      <w:r w:rsidRPr="00A941BC">
        <w:rPr>
          <w:rFonts w:ascii="Arial" w:eastAsia="Times New Roman" w:hAnsi="Arial" w:cs="Arial"/>
          <w:color w:val="000000"/>
          <w:sz w:val="24"/>
          <w:szCs w:val="24"/>
        </w:rPr>
        <w:t xml:space="preserve"> a 1.5Tesla GE scanner</w:t>
      </w:r>
    </w:p>
    <w:p w14:paraId="2CA7A95A" w14:textId="77777777" w:rsidR="00447710" w:rsidRDefault="00A21F48" w:rsidP="0044771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Exclusion criteria</w:t>
      </w:r>
      <w:r w:rsidR="00447710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F63C6B4" w14:textId="32D30425" w:rsidR="00447710" w:rsidRDefault="00447710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&lt;18 years of age; &gt;/=66 years of age</w:t>
      </w:r>
    </w:p>
    <w:p w14:paraId="6D6BF950" w14:textId="32F899B5" w:rsidR="00A571F1" w:rsidRPr="00A571F1" w:rsidRDefault="00A571F1" w:rsidP="00A571F1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Associated lumbar spine symptoms</w:t>
      </w:r>
    </w:p>
    <w:p w14:paraId="6805F7A4" w14:textId="644904A1" w:rsidR="00447710" w:rsidRDefault="00A21F48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prior hip surgery</w:t>
      </w:r>
    </w:p>
    <w:p w14:paraId="446A7977" w14:textId="60439297" w:rsidR="00447710" w:rsidRDefault="00064E06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history of Perthes</w:t>
      </w:r>
    </w:p>
    <w:p w14:paraId="06692493" w14:textId="1B5B9F99" w:rsidR="00447710" w:rsidRDefault="00064E06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SCFE</w:t>
      </w:r>
    </w:p>
    <w:p w14:paraId="7A752AD7" w14:textId="250663E9" w:rsidR="00447710" w:rsidRDefault="00064E06" w:rsidP="0044771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avascular necrosis</w:t>
      </w:r>
    </w:p>
    <w:p w14:paraId="4E58B8FF" w14:textId="0133A562" w:rsidR="00E10486" w:rsidRPr="00762280" w:rsidRDefault="00064E06" w:rsidP="00762280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62280">
        <w:rPr>
          <w:rFonts w:ascii="Arial" w:eastAsia="Times New Roman" w:hAnsi="Arial" w:cs="Arial"/>
          <w:color w:val="000000"/>
          <w:sz w:val="24"/>
          <w:szCs w:val="24"/>
        </w:rPr>
        <w:t>Tonnis</w:t>
      </w:r>
      <w:proofErr w:type="spellEnd"/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Grade &gt;1 on radiographs.  </w:t>
      </w:r>
    </w:p>
    <w:p w14:paraId="16AA2A2E" w14:textId="17E0513B" w:rsidR="00E10486" w:rsidRPr="00762280" w:rsidRDefault="00E10486" w:rsidP="004444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Cohort </w:t>
      </w:r>
      <w:r w:rsidR="0076668E"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56491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atients with </w:t>
      </w:r>
      <w:r w:rsidR="00156491" w:rsidRPr="00A941BC">
        <w:rPr>
          <w:rFonts w:ascii="Arial" w:eastAsia="Times New Roman" w:hAnsi="Arial" w:cs="Arial"/>
          <w:color w:val="000000"/>
          <w:sz w:val="24"/>
          <w:szCs w:val="24"/>
        </w:rPr>
        <w:t xml:space="preserve">documented labral tears </w:t>
      </w:r>
      <w:r w:rsidR="00156491"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plain hip MRIs confirmed </w:t>
      </w:r>
      <w:r w:rsidR="00156491">
        <w:rPr>
          <w:rFonts w:ascii="Arial" w:eastAsia="Times New Roman" w:hAnsi="Arial" w:cs="Arial"/>
          <w:color w:val="000000"/>
          <w:sz w:val="24"/>
          <w:szCs w:val="24"/>
        </w:rPr>
        <w:t>on Magnetic Resonance Arthrogram (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MR</w:t>
      </w:r>
      <w:r w:rsidR="00A21F48" w:rsidRPr="00762280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156491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A21F48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by the musculoskeletal radiologist. </w:t>
      </w:r>
    </w:p>
    <w:p w14:paraId="3D637ED6" w14:textId="3AA73770" w:rsidR="00EF4AAF" w:rsidRDefault="00A21F48" w:rsidP="00EF4AA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Cohort </w:t>
      </w:r>
      <w:r w:rsidR="00156491">
        <w:rPr>
          <w:rFonts w:ascii="Arial" w:eastAsia="Times New Roman" w:hAnsi="Arial" w:cs="Arial"/>
          <w:b/>
          <w:bCs/>
          <w:color w:val="000000"/>
          <w:sz w:val="24"/>
          <w:szCs w:val="24"/>
        </w:rPr>
        <w:t>2 (control)</w:t>
      </w: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56491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atients with no evidence of </w:t>
      </w:r>
      <w:r w:rsidR="00156491">
        <w:rPr>
          <w:rFonts w:ascii="Arial" w:eastAsia="Times New Roman" w:hAnsi="Arial" w:cs="Arial"/>
          <w:color w:val="000000"/>
          <w:sz w:val="24"/>
          <w:szCs w:val="24"/>
        </w:rPr>
        <w:t xml:space="preserve">hip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labral tear on both MRI and MRA. </w:t>
      </w:r>
    </w:p>
    <w:p w14:paraId="3436E316" w14:textId="77777777" w:rsidR="00156491" w:rsidRPr="00762280" w:rsidRDefault="00156491" w:rsidP="00EF4AA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4DE2150" w14:textId="3A646BBE" w:rsidR="00EF4AAF" w:rsidRPr="00762280" w:rsidRDefault="0043244E" w:rsidP="00762280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Study Design Capable of Addressing Hypothesis </w:t>
      </w:r>
    </w:p>
    <w:p w14:paraId="198D6E3E" w14:textId="0CEB7E8D" w:rsidR="0076668E" w:rsidRPr="00762280" w:rsidRDefault="00156491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study</w:t>
      </w:r>
      <w:r w:rsidR="0043244E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is a</w:t>
      </w:r>
      <w:r w:rsidR="00EF4AAF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retrospective</w:t>
      </w:r>
      <w:r w:rsidR="0043244E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longitudinal </w:t>
      </w:r>
      <w:r>
        <w:rPr>
          <w:rFonts w:ascii="Arial" w:eastAsia="Times New Roman" w:hAnsi="Arial" w:cs="Arial"/>
          <w:color w:val="000000"/>
          <w:sz w:val="24"/>
          <w:szCs w:val="24"/>
        </w:rPr>
        <w:t>analysis of plain hip MRI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using </w:t>
      </w:r>
      <w:r w:rsidR="00EF4AAF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AI to detect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hip </w:t>
      </w:r>
      <w:r w:rsidR="00EF4AAF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labral tears </w:t>
      </w:r>
      <w:r w:rsidR="00837952" w:rsidRPr="00762280">
        <w:rPr>
          <w:rFonts w:ascii="Arial" w:eastAsia="Times New Roman" w:hAnsi="Arial" w:cs="Arial"/>
          <w:color w:val="000000"/>
          <w:sz w:val="24"/>
          <w:szCs w:val="24"/>
        </w:rPr>
        <w:t>compared to the gold standard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currently used to detect hip labral tears</w:t>
      </w:r>
      <w:r w:rsidR="00837952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MRA</w:t>
      </w:r>
      <w:r w:rsidR="00EF4AAF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. The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negative </w:t>
      </w:r>
      <w:r w:rsidR="00EF4AAF" w:rsidRPr="00762280">
        <w:rPr>
          <w:rFonts w:ascii="Arial" w:eastAsia="Times New Roman" w:hAnsi="Arial" w:cs="Arial"/>
          <w:color w:val="000000"/>
          <w:sz w:val="24"/>
          <w:szCs w:val="24"/>
        </w:rPr>
        <w:t>control will be hip MRIs with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out </w:t>
      </w:r>
      <w:r w:rsidR="00EF4AAF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labral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tear </w:t>
      </w:r>
      <w:r w:rsidR="00EF4AAF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pathology on both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plain </w:t>
      </w:r>
      <w:r w:rsidR="00EF4AAF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MRI and MRA.  </w:t>
      </w:r>
    </w:p>
    <w:p w14:paraId="079132A3" w14:textId="498329EA" w:rsidR="00D43544" w:rsidRDefault="00EB289A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D43544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performance of the </w:t>
      </w:r>
      <w:r w:rsidR="001467E0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hybrid </w:t>
      </w:r>
      <w:r w:rsidR="00D43544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supervised </w:t>
      </w:r>
      <w:r w:rsidR="00804565" w:rsidRPr="00762280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D43544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L model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is in</w:t>
      </w:r>
      <w:r w:rsidR="00D43544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837952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wo </w:t>
      </w:r>
      <w:r w:rsidR="00D43544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phases: training and testing. The training phase will focus on identifying normal </w:t>
      </w:r>
      <w:r w:rsidR="005F443D">
        <w:rPr>
          <w:rFonts w:ascii="Arial" w:eastAsia="Times New Roman" w:hAnsi="Arial" w:cs="Arial"/>
          <w:color w:val="000000"/>
          <w:sz w:val="24"/>
          <w:szCs w:val="24"/>
        </w:rPr>
        <w:t xml:space="preserve">hip </w:t>
      </w:r>
      <w:r w:rsidR="00D43544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labrum </w:t>
      </w:r>
      <w:r w:rsidR="005F443D">
        <w:rPr>
          <w:rFonts w:ascii="Arial" w:eastAsia="Times New Roman" w:hAnsi="Arial" w:cs="Arial"/>
          <w:color w:val="000000"/>
          <w:sz w:val="24"/>
          <w:szCs w:val="24"/>
        </w:rPr>
        <w:t>versus</w:t>
      </w:r>
      <w:r w:rsidR="005F443D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43D">
        <w:rPr>
          <w:rFonts w:ascii="Arial" w:eastAsia="Times New Roman" w:hAnsi="Arial" w:cs="Arial"/>
          <w:color w:val="000000"/>
          <w:sz w:val="24"/>
          <w:szCs w:val="24"/>
        </w:rPr>
        <w:t xml:space="preserve">hip </w:t>
      </w:r>
      <w:r w:rsidR="00D43544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labral tears. </w:t>
      </w:r>
      <w:r w:rsidR="00804565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The testing phase will compare the DL model to the imaging interpretation by the musculoskeletal radiologist. </w:t>
      </w:r>
    </w:p>
    <w:p w14:paraId="5AB59A6A" w14:textId="3F3A21F8" w:rsidR="00E143F5" w:rsidRDefault="00E143F5" w:rsidP="00662D1A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E354A66" w14:textId="77777777" w:rsidR="00E143F5" w:rsidRDefault="00E143F5" w:rsidP="00E143F5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3D672C3E" w14:textId="77777777" w:rsidR="00E143F5" w:rsidRDefault="00E143F5" w:rsidP="00E143F5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3D120B9" w14:textId="0D743021" w:rsidR="0076668E" w:rsidRPr="00762280" w:rsidRDefault="001467E0" w:rsidP="00E143F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lastRenderedPageBreak/>
        <w:t>Below is a Figure of the Training samples we plan to implement for ou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study:</w:t>
      </w:r>
    </w:p>
    <w:p w14:paraId="143BAE0F" w14:textId="70F476F3" w:rsidR="001467E0" w:rsidRPr="00762280" w:rsidRDefault="001467E0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D84318D" wp14:editId="7091D99D">
            <wp:extent cx="8949991" cy="4755161"/>
            <wp:effectExtent l="0" t="0" r="381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9991" cy="47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A57EB" w14:textId="15F9E9FC" w:rsidR="001467E0" w:rsidRPr="00762280" w:rsidRDefault="001467E0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9214AE" w14:textId="508C8A6C" w:rsidR="001467E0" w:rsidRPr="00762280" w:rsidRDefault="001467E0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In the figure above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we will work under the following assumptions from a DL perspective to assess the feasibility of the study</w:t>
      </w:r>
      <w:r w:rsidR="00CC3E00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from </w:t>
      </w:r>
      <w:r w:rsidR="005F443D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CC3E00"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data to support the hypothesis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2FE9536" w14:textId="4611899B" w:rsidR="001467E0" w:rsidRPr="00762280" w:rsidRDefault="001467E0" w:rsidP="001467E0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The images we plan to train on will be done on a 2D/3D plane with a 256 x 256 pixel to support the predictions of a </w:t>
      </w:r>
      <w:r w:rsidR="005F443D">
        <w:rPr>
          <w:rFonts w:ascii="Arial" w:eastAsia="Times New Roman" w:hAnsi="Arial" w:cs="Arial"/>
          <w:color w:val="000000"/>
          <w:sz w:val="24"/>
          <w:szCs w:val="24"/>
        </w:rPr>
        <w:t xml:space="preserve">labral hip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tear or no </w:t>
      </w:r>
      <w:r w:rsidR="005F443D">
        <w:rPr>
          <w:rFonts w:ascii="Arial" w:eastAsia="Times New Roman" w:hAnsi="Arial" w:cs="Arial"/>
          <w:color w:val="000000"/>
          <w:sz w:val="24"/>
          <w:szCs w:val="24"/>
        </w:rPr>
        <w:t xml:space="preserve">labral hip 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tear </w:t>
      </w:r>
    </w:p>
    <w:p w14:paraId="6C3CBD85" w14:textId="2959FF93" w:rsidR="001467E0" w:rsidRDefault="001467E0" w:rsidP="001467E0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To confirm our prediction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we will train our model on a small sample size of n=200 and provide an output file of ROC and AUC to assess the predictions from the </w:t>
      </w:r>
      <w:r w:rsidR="00EB289A" w:rsidRPr="00762280">
        <w:rPr>
          <w:rFonts w:ascii="Arial" w:eastAsia="Times New Roman" w:hAnsi="Arial" w:cs="Arial"/>
          <w:color w:val="000000"/>
          <w:sz w:val="24"/>
          <w:szCs w:val="24"/>
        </w:rPr>
        <w:t>two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cohorts</w:t>
      </w:r>
      <w:r w:rsidR="00C27A0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CAE722E" w14:textId="0AD16418" w:rsidR="00C27A04" w:rsidRDefault="00C27A04" w:rsidP="00C27A0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2X2 contingency tables will be utilized to detect the sensitivity and specificity of AI detecting labral tears on MRI in comparison to MRA:</w:t>
      </w:r>
    </w:p>
    <w:p w14:paraId="1ED9F0FE" w14:textId="77777777" w:rsidR="00662D1A" w:rsidRDefault="00662D1A" w:rsidP="002D638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CAA585" w14:textId="77777777" w:rsidR="00662D1A" w:rsidRDefault="00662D1A" w:rsidP="002D638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78DD1C" w14:textId="29FF14B8" w:rsidR="00662D1A" w:rsidRPr="00662D1A" w:rsidRDefault="002D638E" w:rsidP="002D638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Positive Predictive Value (PPV) =</w:t>
      </w:r>
      <w:r w:rsidR="00662D1A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62D1A">
        <w:rPr>
          <w:rFonts w:ascii="Arial" w:eastAsia="Times New Roman" w:hAnsi="Arial" w:cs="Arial"/>
          <w:color w:val="000000"/>
          <w:sz w:val="24"/>
          <w:szCs w:val="24"/>
          <w:u w:val="single"/>
        </w:rPr>
        <w:t>True Positive (TP)</w:t>
      </w:r>
    </w:p>
    <w:p w14:paraId="3B822E14" w14:textId="46BBB3BB" w:rsidR="002D638E" w:rsidRDefault="00662D1A" w:rsidP="002D638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</w:t>
      </w:r>
      <w:r w:rsidR="002D638E">
        <w:rPr>
          <w:rFonts w:ascii="Arial" w:eastAsia="Times New Roman" w:hAnsi="Arial" w:cs="Arial"/>
          <w:color w:val="000000"/>
          <w:sz w:val="24"/>
          <w:szCs w:val="24"/>
        </w:rPr>
        <w:t>True Positive (TP) + False Positive (FP)</w:t>
      </w:r>
    </w:p>
    <w:p w14:paraId="21E71028" w14:textId="77777777" w:rsidR="00662D1A" w:rsidRDefault="00662D1A" w:rsidP="002D638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2E0278" w14:textId="3004468A" w:rsidR="00662D1A" w:rsidRDefault="002D638E" w:rsidP="002D638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Negative Predictive Value (NPV) = </w:t>
      </w:r>
      <w:r w:rsidR="00662D1A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662D1A">
        <w:rPr>
          <w:rFonts w:ascii="Arial" w:eastAsia="Times New Roman" w:hAnsi="Arial" w:cs="Arial"/>
          <w:color w:val="000000"/>
          <w:sz w:val="24"/>
          <w:szCs w:val="24"/>
          <w:u w:val="single"/>
        </w:rPr>
        <w:t>True Negative (TN)</w:t>
      </w:r>
    </w:p>
    <w:p w14:paraId="2FAA82DB" w14:textId="612AD783" w:rsidR="002D638E" w:rsidRPr="00762280" w:rsidRDefault="00662D1A" w:rsidP="002D638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2D1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="002D638E">
        <w:rPr>
          <w:rFonts w:ascii="Arial" w:eastAsia="Times New Roman" w:hAnsi="Arial" w:cs="Arial"/>
          <w:color w:val="000000"/>
          <w:sz w:val="24"/>
          <w:szCs w:val="24"/>
        </w:rPr>
        <w:t>True Negative (TN) + False Negative (FN)</w:t>
      </w:r>
    </w:p>
    <w:p w14:paraId="1DF99D5A" w14:textId="0C1634C1" w:rsidR="00C27A04" w:rsidRDefault="00C27A04" w:rsidP="00C27A0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27A04" w14:paraId="07AECA88" w14:textId="77777777" w:rsidTr="00A571F1">
        <w:tc>
          <w:tcPr>
            <w:tcW w:w="3116" w:type="dxa"/>
            <w:shd w:val="clear" w:color="auto" w:fill="FFC000" w:themeFill="accent4"/>
          </w:tcPr>
          <w:p w14:paraId="62E41CFD" w14:textId="278C7815" w:rsidR="00C27A04" w:rsidRDefault="00E143F5" w:rsidP="00C27A0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 Interpretation</w:t>
            </w:r>
          </w:p>
        </w:tc>
        <w:tc>
          <w:tcPr>
            <w:tcW w:w="3117" w:type="dxa"/>
            <w:shd w:val="clear" w:color="auto" w:fill="FFC000" w:themeFill="accent4"/>
          </w:tcPr>
          <w:p w14:paraId="64390C98" w14:textId="31C43C1D" w:rsidR="00C27A04" w:rsidRDefault="00E143F5" w:rsidP="00C27A0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MRA positive labral tear</w:t>
            </w:r>
          </w:p>
        </w:tc>
        <w:tc>
          <w:tcPr>
            <w:tcW w:w="3117" w:type="dxa"/>
            <w:shd w:val="clear" w:color="auto" w:fill="FFC000" w:themeFill="accent4"/>
          </w:tcPr>
          <w:p w14:paraId="7BA518A1" w14:textId="4FD0929B" w:rsidR="00C27A04" w:rsidRDefault="00E143F5" w:rsidP="00C27A0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MRA negative labral tear</w:t>
            </w:r>
          </w:p>
        </w:tc>
      </w:tr>
      <w:tr w:rsidR="00C27A04" w14:paraId="67BC0DDD" w14:textId="77777777" w:rsidTr="00C27A04">
        <w:tc>
          <w:tcPr>
            <w:tcW w:w="3116" w:type="dxa"/>
          </w:tcPr>
          <w:p w14:paraId="579C8890" w14:textId="08C21EDA" w:rsidR="00C27A04" w:rsidRDefault="00E143F5" w:rsidP="00C27A0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Positive labral tear</w:t>
            </w:r>
          </w:p>
        </w:tc>
        <w:tc>
          <w:tcPr>
            <w:tcW w:w="3117" w:type="dxa"/>
          </w:tcPr>
          <w:p w14:paraId="2B2FEF41" w14:textId="2DAA8E13" w:rsidR="00C27A04" w:rsidRDefault="002D638E" w:rsidP="002D63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</w:t>
            </w:r>
          </w:p>
        </w:tc>
        <w:tc>
          <w:tcPr>
            <w:tcW w:w="3117" w:type="dxa"/>
          </w:tcPr>
          <w:p w14:paraId="68FA5C83" w14:textId="597A8B91" w:rsidR="00C27A04" w:rsidRDefault="002D638E" w:rsidP="002D63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FP</w:t>
            </w:r>
          </w:p>
        </w:tc>
      </w:tr>
      <w:tr w:rsidR="00C27A04" w14:paraId="27E915CD" w14:textId="77777777" w:rsidTr="00C27A04">
        <w:tc>
          <w:tcPr>
            <w:tcW w:w="3116" w:type="dxa"/>
          </w:tcPr>
          <w:p w14:paraId="346CD64A" w14:textId="6397E4DE" w:rsidR="00C27A04" w:rsidRDefault="00E143F5" w:rsidP="00C27A0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Negative labral tear</w:t>
            </w:r>
          </w:p>
        </w:tc>
        <w:tc>
          <w:tcPr>
            <w:tcW w:w="3117" w:type="dxa"/>
          </w:tcPr>
          <w:p w14:paraId="4E65AA27" w14:textId="7CC34A49" w:rsidR="00C27A04" w:rsidRDefault="002D638E" w:rsidP="002D63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FN</w:t>
            </w:r>
          </w:p>
        </w:tc>
        <w:tc>
          <w:tcPr>
            <w:tcW w:w="3117" w:type="dxa"/>
          </w:tcPr>
          <w:p w14:paraId="2D3D68C5" w14:textId="0B051805" w:rsidR="00C27A04" w:rsidRDefault="002D638E" w:rsidP="002D63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</w:t>
            </w:r>
          </w:p>
        </w:tc>
      </w:tr>
    </w:tbl>
    <w:p w14:paraId="132C6503" w14:textId="77777777" w:rsidR="00662D1A" w:rsidRDefault="00662D1A" w:rsidP="00662D1A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3C592A9" w14:textId="77777777" w:rsidR="00662D1A" w:rsidRDefault="00662D1A" w:rsidP="00662D1A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3F62253" w14:textId="37358DB0" w:rsidR="00662D1A" w:rsidRPr="00924D61" w:rsidRDefault="00662D1A" w:rsidP="00662D1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62D1A">
        <w:rPr>
          <w:rFonts w:ascii="Arial" w:eastAsia="Times New Roman" w:hAnsi="Arial" w:cs="Arial"/>
          <w:b/>
          <w:bCs/>
          <w:color w:val="000000"/>
          <w:sz w:val="24"/>
          <w:szCs w:val="24"/>
        </w:rPr>
        <w:t>4.  Power Analysis</w:t>
      </w:r>
      <w:r w:rsidR="00924D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="00D8676F">
        <w:rPr>
          <w:rFonts w:ascii="Arial" w:eastAsia="Times New Roman" w:hAnsi="Arial" w:cs="Arial"/>
          <w:b/>
          <w:bCs/>
          <w:color w:val="000000"/>
          <w:sz w:val="24"/>
          <w:szCs w:val="24"/>
        </w:rPr>
        <w:t>(THIS SECTION)</w:t>
      </w:r>
    </w:p>
    <w:p w14:paraId="786BCFC5" w14:textId="77777777" w:rsidR="00662D1A" w:rsidRDefault="00E143F5" w:rsidP="00C27A0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</w:t>
      </w:r>
    </w:p>
    <w:p w14:paraId="4CB438C6" w14:textId="7401B88B" w:rsidR="00D8676F" w:rsidRPr="00D8676F" w:rsidRDefault="00D8676F" w:rsidP="00D8676F">
      <w:pPr>
        <w:spacing w:before="100" w:beforeAutospacing="1" w:after="100" w:afterAutospacing="1" w:line="240" w:lineRule="auto"/>
        <w:ind w:left="360"/>
        <w:rPr>
          <w:rFonts w:ascii="ArialMT" w:eastAsia="Times New Roman" w:hAnsi="ArialMT" w:cs="Times New Roman"/>
          <w:i/>
          <w:iCs/>
          <w:sz w:val="24"/>
          <w:szCs w:val="24"/>
        </w:rPr>
      </w:pPr>
      <w:r w:rsidRPr="00D8676F">
        <w:rPr>
          <w:rFonts w:ascii="ArialMT" w:eastAsia="Times New Roman" w:hAnsi="ArialMT" w:cs="Times New Roman"/>
          <w:i/>
          <w:iCs/>
          <w:sz w:val="24"/>
          <w:szCs w:val="24"/>
        </w:rPr>
        <w:t xml:space="preserve">4.1.  Describe the “effect size” you believe to be clinically important, and why you believe it will be likely / feasible that you will produce / observe such an </w:t>
      </w:r>
      <w:proofErr w:type="gramStart"/>
      <w:r w:rsidRPr="00D8676F">
        <w:rPr>
          <w:rFonts w:ascii="ArialMT" w:eastAsia="Times New Roman" w:hAnsi="ArialMT" w:cs="Times New Roman"/>
          <w:i/>
          <w:iCs/>
          <w:sz w:val="24"/>
          <w:szCs w:val="24"/>
        </w:rPr>
        <w:t>effect, or</w:t>
      </w:r>
      <w:proofErr w:type="gramEnd"/>
      <w:r w:rsidRPr="00D8676F">
        <w:rPr>
          <w:rFonts w:ascii="ArialMT" w:eastAsia="Times New Roman" w:hAnsi="ArialMT" w:cs="Times New Roman"/>
          <w:i/>
          <w:iCs/>
          <w:sz w:val="24"/>
          <w:szCs w:val="24"/>
        </w:rPr>
        <w:t xml:space="preserve"> describe the sample size limitations and where the “detectable” effect size lives relative to the clinically important one.</w:t>
      </w:r>
    </w:p>
    <w:p w14:paraId="0B9B4A19" w14:textId="5F765A8D" w:rsidR="00D8676F" w:rsidRDefault="00D8676F" w:rsidP="00D8676F">
      <w:pPr>
        <w:spacing w:before="100" w:beforeAutospacing="1" w:after="100" w:afterAutospacing="1" w:line="240" w:lineRule="auto"/>
        <w:ind w:left="360"/>
        <w:rPr>
          <w:rFonts w:ascii="ArialMT" w:eastAsia="Times New Roman" w:hAnsi="ArialMT" w:cs="Times New Roman"/>
          <w:sz w:val="24"/>
          <w:szCs w:val="24"/>
        </w:rPr>
      </w:pPr>
    </w:p>
    <w:p w14:paraId="5A7CB946" w14:textId="7F1A3E1D" w:rsidR="00D8676F" w:rsidRPr="00D8676F" w:rsidRDefault="00D8676F" w:rsidP="00D8676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76F">
        <w:rPr>
          <w:rFonts w:ascii="ArialMT" w:eastAsia="Times New Roman" w:hAnsi="ArialMT" w:cs="Times New Roman"/>
          <w:b/>
          <w:bCs/>
          <w:sz w:val="24"/>
          <w:szCs w:val="24"/>
        </w:rPr>
        <w:t>EXAMPLE</w:t>
      </w:r>
    </w:p>
    <w:p w14:paraId="38F2EC75" w14:textId="77777777" w:rsidR="00D8676F" w:rsidRPr="00D8676F" w:rsidRDefault="00D8676F" w:rsidP="00D867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ArialMT" w:eastAsia="Times New Roman" w:hAnsi="ArialMT" w:cs="Times New Roman"/>
          <w:sz w:val="24"/>
          <w:szCs w:val="24"/>
        </w:rPr>
        <w:t xml:space="preserve">0.4% difference or greater in A1C is believed to be clinically important, based on threshold for non-inferiority from type 1 diabetes drug trials (INSTRIDE 1 Phase 3 study: efficacy and safety of MYL-1501D vs insulin glargine in patients with type 1 diabetes after 52 weeks: https://www.ncbi.nlm.nih.gov/pubmed/29656504). Given that approximately 25 million Americans have type 1 diabetes and that the study is observational in nature, we believe it is likely that we can recruit a sufficient number of patients to observe a clinically meaningful difference in A1C based on insurance type. </w:t>
      </w:r>
    </w:p>
    <w:p w14:paraId="5A6606E4" w14:textId="2CCDCCAE" w:rsidR="00D8676F" w:rsidRPr="00D8676F" w:rsidRDefault="00D8676F" w:rsidP="00D867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8676F">
        <w:rPr>
          <w:rFonts w:ascii="ArialMT" w:eastAsia="Times New Roman" w:hAnsi="ArialMT" w:cs="Times New Roman"/>
          <w:i/>
          <w:iCs/>
          <w:sz w:val="24"/>
          <w:szCs w:val="24"/>
        </w:rPr>
        <w:t>4.2.  State the conditions under which you performed your sample size / effect size calculation (</w:t>
      </w:r>
      <w:proofErr w:type="gramStart"/>
      <w:r w:rsidRPr="00D8676F">
        <w:rPr>
          <w:rFonts w:ascii="ArialMT" w:eastAsia="Times New Roman" w:hAnsi="ArialMT" w:cs="Times New Roman"/>
          <w:i/>
          <w:iCs/>
          <w:sz w:val="24"/>
          <w:szCs w:val="24"/>
        </w:rPr>
        <w:t>i.e.</w:t>
      </w:r>
      <w:proofErr w:type="gramEnd"/>
      <w:r w:rsidRPr="00D8676F">
        <w:rPr>
          <w:rFonts w:ascii="ArialMT" w:eastAsia="Times New Roman" w:hAnsi="ArialMT" w:cs="Times New Roman"/>
          <w:i/>
          <w:iCs/>
          <w:sz w:val="24"/>
          <w:szCs w:val="24"/>
        </w:rPr>
        <w:t xml:space="preserve"> describe your numeric choices of the ingredients) </w:t>
      </w:r>
    </w:p>
    <w:p w14:paraId="6E3209A6" w14:textId="599FDBAB" w:rsidR="00D8676F" w:rsidRPr="00D8676F" w:rsidRDefault="00D8676F" w:rsidP="00D8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76F">
        <w:rPr>
          <w:rFonts w:ascii="ArialMT" w:eastAsia="Times New Roman" w:hAnsi="ArialMT" w:cs="Times New Roman"/>
          <w:b/>
          <w:bCs/>
          <w:sz w:val="24"/>
          <w:szCs w:val="24"/>
        </w:rPr>
        <w:t>EXAMPLE</w:t>
      </w:r>
    </w:p>
    <w:p w14:paraId="1723301F" w14:textId="77777777" w:rsidR="00D8676F" w:rsidRPr="00D8676F" w:rsidRDefault="00D8676F" w:rsidP="00D867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ArialMT" w:eastAsia="Times New Roman" w:hAnsi="ArialMT" w:cs="Times New Roman"/>
          <w:sz w:val="24"/>
          <w:szCs w:val="24"/>
        </w:rPr>
        <w:t xml:space="preserve">We estimate a necessary sample size of 368 patients (184 patients per group) based on the following assumptions: </w:t>
      </w:r>
    </w:p>
    <w:p w14:paraId="3BF9E031" w14:textId="77777777" w:rsidR="00D8676F" w:rsidRPr="00D8676F" w:rsidRDefault="00D8676F" w:rsidP="00D8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CourierNewPSMT" w:eastAsia="Times New Roman" w:hAnsi="CourierNewPSMT" w:cs="Times New Roman"/>
          <w:sz w:val="24"/>
          <w:szCs w:val="24"/>
        </w:rPr>
        <w:lastRenderedPageBreak/>
        <w:t xml:space="preserve">o </w:t>
      </w:r>
      <w:r w:rsidRPr="00D8676F">
        <w:rPr>
          <w:rFonts w:ascii="ArialMT" w:eastAsia="Times New Roman" w:hAnsi="ArialMT" w:cs="Times New Roman"/>
          <w:sz w:val="24"/>
          <w:szCs w:val="24"/>
        </w:rPr>
        <w:t>Type 1 Error of 5% (i.e., 5% alpha)</w:t>
      </w:r>
      <w:r w:rsidRPr="00D8676F">
        <w:rPr>
          <w:rFonts w:ascii="ArialMT" w:eastAsia="Times New Roman" w:hAnsi="ArialMT" w:cs="Times New Roman"/>
          <w:sz w:val="24"/>
          <w:szCs w:val="24"/>
        </w:rPr>
        <w:br/>
      </w:r>
      <w:r w:rsidRPr="00D8676F">
        <w:rPr>
          <w:rFonts w:ascii="CourierNewPSMT" w:eastAsia="Times New Roman" w:hAnsi="CourierNewPSMT" w:cs="Times New Roman"/>
          <w:sz w:val="24"/>
          <w:szCs w:val="24"/>
        </w:rPr>
        <w:t xml:space="preserve">o </w:t>
      </w:r>
      <w:r w:rsidRPr="00D8676F">
        <w:rPr>
          <w:rFonts w:ascii="ArialMT" w:eastAsia="Times New Roman" w:hAnsi="ArialMT" w:cs="Times New Roman"/>
          <w:sz w:val="24"/>
          <w:szCs w:val="24"/>
        </w:rPr>
        <w:t>Type 2 Error of 20% (i.e., 80% power)</w:t>
      </w:r>
      <w:r w:rsidRPr="00D8676F">
        <w:rPr>
          <w:rFonts w:ascii="ArialMT" w:eastAsia="Times New Roman" w:hAnsi="ArialMT" w:cs="Times New Roman"/>
          <w:sz w:val="24"/>
          <w:szCs w:val="24"/>
        </w:rPr>
        <w:br/>
      </w:r>
      <w:r w:rsidRPr="00D8676F">
        <w:rPr>
          <w:rFonts w:ascii="CourierNewPSMT" w:eastAsia="Times New Roman" w:hAnsi="CourierNewPSMT" w:cs="Times New Roman"/>
          <w:sz w:val="24"/>
          <w:szCs w:val="24"/>
        </w:rPr>
        <w:t xml:space="preserve">o </w:t>
      </w:r>
      <w:r w:rsidRPr="00D8676F">
        <w:rPr>
          <w:rFonts w:ascii="ArialMT" w:eastAsia="Times New Roman" w:hAnsi="ArialMT" w:cs="Times New Roman"/>
          <w:sz w:val="24"/>
          <w:szCs w:val="24"/>
        </w:rPr>
        <w:t>1:1 ratio of HDHP vs. traditional insurance patients</w:t>
      </w:r>
      <w:r w:rsidRPr="00D8676F">
        <w:rPr>
          <w:rFonts w:ascii="ArialMT" w:eastAsia="Times New Roman" w:hAnsi="ArialMT" w:cs="Times New Roman"/>
          <w:sz w:val="24"/>
          <w:szCs w:val="24"/>
        </w:rPr>
        <w:br/>
      </w:r>
      <w:r w:rsidRPr="00D8676F">
        <w:rPr>
          <w:rFonts w:ascii="CourierNewPSMT" w:eastAsia="Times New Roman" w:hAnsi="CourierNewPSMT" w:cs="Times New Roman"/>
          <w:sz w:val="24"/>
          <w:szCs w:val="24"/>
        </w:rPr>
        <w:t xml:space="preserve">o </w:t>
      </w:r>
      <w:r w:rsidRPr="00D8676F">
        <w:rPr>
          <w:rFonts w:ascii="ArialMT" w:eastAsia="Times New Roman" w:hAnsi="ArialMT" w:cs="Times New Roman"/>
          <w:sz w:val="24"/>
          <w:szCs w:val="24"/>
        </w:rPr>
        <w:t xml:space="preserve">Standard deviation of A1C within each group of 1.3% (approx. 1.5x the </w:t>
      </w:r>
    </w:p>
    <w:p w14:paraId="7C1A83DA" w14:textId="77777777" w:rsidR="00D8676F" w:rsidRPr="00D8676F" w:rsidRDefault="00D8676F" w:rsidP="00D8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ArialMT" w:eastAsia="Times New Roman" w:hAnsi="ArialMT" w:cs="Times New Roman"/>
          <w:sz w:val="24"/>
          <w:szCs w:val="24"/>
        </w:rPr>
        <w:t xml:space="preserve">standard deviation in A1C of patients enrolled in INSTRIDE 1 study to account for higher expected variance in A1C in a real-world setting vs. a controlled randomized clinical trial) </w:t>
      </w:r>
    </w:p>
    <w:p w14:paraId="20412A0C" w14:textId="77777777" w:rsidR="00D8676F" w:rsidRPr="00D8676F" w:rsidRDefault="00D8676F" w:rsidP="00D8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CourierNewPSMT" w:eastAsia="Times New Roman" w:hAnsi="CourierNewPSMT" w:cs="Times New Roman"/>
          <w:sz w:val="24"/>
          <w:szCs w:val="24"/>
        </w:rPr>
        <w:t xml:space="preserve">o </w:t>
      </w:r>
      <w:r w:rsidRPr="00D8676F">
        <w:rPr>
          <w:rFonts w:ascii="ArialMT" w:eastAsia="Times New Roman" w:hAnsi="ArialMT" w:cs="Times New Roman"/>
          <w:sz w:val="24"/>
          <w:szCs w:val="24"/>
        </w:rPr>
        <w:t xml:space="preserve">Hypothetical clinically meaningful difference in A1C of 0.4% between groups </w:t>
      </w:r>
    </w:p>
    <w:p w14:paraId="7EF6DEE7" w14:textId="77777777" w:rsidR="00D8676F" w:rsidRPr="00D8676F" w:rsidRDefault="00D8676F" w:rsidP="00D8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CourierNewPSMT" w:eastAsia="Times New Roman" w:hAnsi="CourierNewPSMT" w:cs="Times New Roman"/>
          <w:sz w:val="24"/>
          <w:szCs w:val="24"/>
        </w:rPr>
        <w:t xml:space="preserve">o </w:t>
      </w:r>
      <w:r w:rsidRPr="00D8676F">
        <w:rPr>
          <w:rFonts w:ascii="ArialMT" w:eastAsia="Times New Roman" w:hAnsi="ArialMT" w:cs="Times New Roman"/>
          <w:sz w:val="24"/>
          <w:szCs w:val="24"/>
        </w:rPr>
        <w:t xml:space="preserve">10% dropout rate (approx. 1.5x the 7% dropout rate of patients enrolled in INSTRIDE 1 study to account for higher expected dropout in a real-world setting vs. a controlled randomized clinical trial) </w:t>
      </w:r>
    </w:p>
    <w:p w14:paraId="5FD24E3C" w14:textId="77777777" w:rsidR="00D8676F" w:rsidRPr="00D8676F" w:rsidRDefault="00D8676F" w:rsidP="00D8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ArialMT" w:eastAsia="Times New Roman" w:hAnsi="ArialMT" w:cs="Times New Roman"/>
          <w:sz w:val="24"/>
          <w:szCs w:val="24"/>
        </w:rPr>
        <w:t xml:space="preserve">Sample size was estimated assuming an independent t-test design using the Vanderbilt University Department of Biostatistics Power and Sample Size program (https://statcomp2.app.vumc.org/ps/). </w:t>
      </w:r>
    </w:p>
    <w:p w14:paraId="793935AB" w14:textId="77777777" w:rsidR="00D8676F" w:rsidRPr="00D8676F" w:rsidRDefault="00D8676F" w:rsidP="00D8676F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i/>
          <w:iCs/>
          <w:sz w:val="24"/>
          <w:szCs w:val="24"/>
        </w:rPr>
      </w:pPr>
      <w:r w:rsidRPr="00D8676F">
        <w:rPr>
          <w:rFonts w:ascii="ArialMT" w:eastAsia="Times New Roman" w:hAnsi="ArialMT" w:cs="Times New Roman"/>
          <w:i/>
          <w:iCs/>
          <w:sz w:val="24"/>
          <w:szCs w:val="24"/>
        </w:rPr>
        <w:t>4.3. Summarize</w:t>
      </w:r>
    </w:p>
    <w:p w14:paraId="1240FB47" w14:textId="77777777" w:rsidR="00D8676F" w:rsidRPr="00D8676F" w:rsidRDefault="00D8676F" w:rsidP="00D8676F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b/>
          <w:bCs/>
          <w:sz w:val="24"/>
          <w:szCs w:val="24"/>
        </w:rPr>
      </w:pPr>
      <w:r w:rsidRPr="00D8676F">
        <w:rPr>
          <w:rFonts w:ascii="ArialMT" w:eastAsia="Times New Roman" w:hAnsi="ArialMT" w:cs="Times New Roman"/>
          <w:b/>
          <w:bCs/>
          <w:sz w:val="24"/>
          <w:szCs w:val="24"/>
        </w:rPr>
        <w:t>EXAMPLE</w:t>
      </w:r>
    </w:p>
    <w:p w14:paraId="221039A0" w14:textId="7D5A74D5" w:rsidR="00D8676F" w:rsidRPr="00D8676F" w:rsidRDefault="00D8676F" w:rsidP="00D8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ArialMT" w:eastAsia="Times New Roman" w:hAnsi="ArialMT" w:cs="Times New Roman"/>
          <w:sz w:val="24"/>
          <w:szCs w:val="24"/>
        </w:rPr>
        <w:br/>
        <w:t xml:space="preserve">To observe a 0.4% difference in mean A1C between groups with an alpha of </w:t>
      </w:r>
    </w:p>
    <w:p w14:paraId="637F8331" w14:textId="727A015A" w:rsidR="00D8676F" w:rsidRPr="00D8676F" w:rsidRDefault="00D8676F" w:rsidP="00D86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D8676F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"/var/folders/6k/wdnrgwx9299cybvlcjb9cv3c0000gn/T/com.microsoft.Word/WebArchiveCopyPasteTempFiles/page3image1678528" \* MERGEFORMATINET </w:instrText>
      </w:r>
      <w:r w:rsidRPr="00D867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867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BF4E3C" wp14:editId="5C819690">
            <wp:extent cx="3241040" cy="2743200"/>
            <wp:effectExtent l="0" t="0" r="0" b="0"/>
            <wp:docPr id="3" name="Picture 3" descr="page3image1678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6785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7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D867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8676F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"/var/folders/6k/wdnrgwx9299cybvlcjb9cv3c0000gn/T/com.microsoft.Word/WebArchiveCopyPasteTempFiles/page3image3699344" \* MERGEFORMATINET </w:instrText>
      </w:r>
      <w:r w:rsidRPr="00D867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867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293A73" wp14:editId="2B25E5C0">
            <wp:extent cx="2360930" cy="2743200"/>
            <wp:effectExtent l="0" t="0" r="1270" b="0"/>
            <wp:docPr id="2" name="Picture 2" descr="page3image3699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36993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7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DD8E75D" w14:textId="77777777" w:rsidR="00D8676F" w:rsidRPr="00D8676F" w:rsidRDefault="00D8676F" w:rsidP="00D8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6F">
        <w:rPr>
          <w:rFonts w:ascii="ArialMT" w:eastAsia="Times New Roman" w:hAnsi="ArialMT" w:cs="Times New Roman"/>
          <w:sz w:val="24"/>
          <w:szCs w:val="24"/>
        </w:rPr>
        <w:t xml:space="preserve">0.05, 80% power, and 10% dropout rate, we estimate a necessary sample size of 368 patients (184 patients per group). </w:t>
      </w:r>
    </w:p>
    <w:p w14:paraId="5B2459BB" w14:textId="77777777" w:rsidR="00662D1A" w:rsidRDefault="00662D1A" w:rsidP="00C27A0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6A1B3E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A4DA3AC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7BD6D60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36CEE03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1C16D3A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46683DF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7C6DD32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800DBC3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81FFA41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D67CFF5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9E1D6B8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2A2D0EE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BDF656E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566B1D2" w14:textId="77777777" w:rsidR="00C0029B" w:rsidRDefault="00C0029B" w:rsidP="00C27A0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577C1E5" w14:textId="7FC0C197" w:rsidR="00C0029B" w:rsidRPr="00C0029B" w:rsidRDefault="00662D1A" w:rsidP="00C0029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2D1A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Pr="00662D1A">
        <w:rPr>
          <w:rFonts w:ascii="Arial" w:eastAsia="Times New Roman" w:hAnsi="Arial" w:cs="Arial"/>
          <w:b/>
          <w:bCs/>
          <w:color w:val="000000"/>
          <w:sz w:val="24"/>
          <w:szCs w:val="24"/>
        </w:rPr>
        <w:t>Measures and Data Collection Plan</w:t>
      </w:r>
      <w:r w:rsidR="00E143F5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</w:p>
    <w:p w14:paraId="5AE67E54" w14:textId="72D8E28A" w:rsidR="00662D1A" w:rsidRDefault="00662D1A" w:rsidP="00662D1A">
      <w:pPr>
        <w:spacing w:before="88"/>
        <w:ind w:left="6508" w:right="6516"/>
        <w:jc w:val="center"/>
        <w:rPr>
          <w:b/>
          <w:sz w:val="36"/>
        </w:rPr>
      </w:pPr>
      <w:r>
        <w:rPr>
          <w:b/>
          <w:sz w:val="36"/>
        </w:rPr>
        <w:t>DATA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COLLECTION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LOG:</w:t>
      </w:r>
    </w:p>
    <w:p w14:paraId="57893EE5" w14:textId="77777777" w:rsidR="00662D1A" w:rsidRDefault="00662D1A" w:rsidP="00662D1A">
      <w:pPr>
        <w:pStyle w:val="BodyText"/>
        <w:spacing w:before="3"/>
        <w:rPr>
          <w:b/>
        </w:rPr>
      </w:pPr>
    </w:p>
    <w:tbl>
      <w:tblPr>
        <w:tblW w:w="0" w:type="auto"/>
        <w:tblInd w:w="11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982"/>
        <w:gridCol w:w="1977"/>
        <w:gridCol w:w="2159"/>
        <w:gridCol w:w="2879"/>
        <w:gridCol w:w="988"/>
        <w:gridCol w:w="1622"/>
        <w:gridCol w:w="3864"/>
      </w:tblGrid>
      <w:tr w:rsidR="00662D1A" w14:paraId="0536F07B" w14:textId="77777777" w:rsidTr="00662D1A">
        <w:trPr>
          <w:trHeight w:val="4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473EC3FD" w14:textId="77777777" w:rsidR="00662D1A" w:rsidRPr="00662D1A" w:rsidRDefault="00662D1A" w:rsidP="00C37605">
            <w:pPr>
              <w:pStyle w:val="TableParagraph"/>
              <w:spacing w:before="0" w:line="230" w:lineRule="atLeast"/>
              <w:ind w:left="33" w:right="689"/>
              <w:rPr>
                <w:b/>
                <w:color w:val="FFFFFF" w:themeColor="background1"/>
                <w:sz w:val="19"/>
              </w:rPr>
            </w:pPr>
            <w:r w:rsidRPr="00662D1A">
              <w:rPr>
                <w:b/>
                <w:color w:val="FFFFFF" w:themeColor="background1"/>
                <w:w w:val="105"/>
                <w:sz w:val="19"/>
              </w:rPr>
              <w:t>Construct /</w:t>
            </w:r>
            <w:r w:rsidRPr="00662D1A">
              <w:rPr>
                <w:b/>
                <w:color w:val="FFFFFF" w:themeColor="background1"/>
                <w:spacing w:val="-53"/>
                <w:w w:val="105"/>
                <w:sz w:val="19"/>
              </w:rPr>
              <w:t xml:space="preserve"> </w:t>
            </w:r>
            <w:r w:rsidRPr="00662D1A">
              <w:rPr>
                <w:b/>
                <w:color w:val="FFFFFF" w:themeColor="background1"/>
                <w:w w:val="105"/>
                <w:sz w:val="19"/>
              </w:rPr>
              <w:t>Indicator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4DF190DC" w14:textId="77777777" w:rsidR="00662D1A" w:rsidRPr="00662D1A" w:rsidRDefault="00662D1A" w:rsidP="00C37605">
            <w:pPr>
              <w:pStyle w:val="TableParagraph"/>
              <w:spacing w:before="13"/>
              <w:ind w:left="33"/>
              <w:rPr>
                <w:b/>
                <w:color w:val="FFFFFF" w:themeColor="background1"/>
                <w:sz w:val="19"/>
              </w:rPr>
            </w:pPr>
            <w:r w:rsidRPr="00662D1A">
              <w:rPr>
                <w:b/>
                <w:color w:val="FFFFFF" w:themeColor="background1"/>
                <w:w w:val="105"/>
                <w:sz w:val="19"/>
              </w:rPr>
              <w:t>SOURCE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474F1A7E" w14:textId="77777777" w:rsidR="00662D1A" w:rsidRPr="00662D1A" w:rsidRDefault="00662D1A" w:rsidP="00C37605">
            <w:pPr>
              <w:pStyle w:val="TableParagraph"/>
              <w:spacing w:before="13"/>
              <w:ind w:left="34"/>
              <w:rPr>
                <w:b/>
                <w:color w:val="FFFFFF" w:themeColor="background1"/>
                <w:sz w:val="19"/>
              </w:rPr>
            </w:pPr>
            <w:r w:rsidRPr="00662D1A">
              <w:rPr>
                <w:b/>
                <w:color w:val="FFFFFF" w:themeColor="background1"/>
                <w:w w:val="105"/>
                <w:sz w:val="19"/>
              </w:rPr>
              <w:t>MECHANSIM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40B8340E" w14:textId="77777777" w:rsidR="00662D1A" w:rsidRPr="00662D1A" w:rsidRDefault="00662D1A" w:rsidP="00C37605">
            <w:pPr>
              <w:pStyle w:val="TableParagraph"/>
              <w:spacing w:before="13"/>
              <w:ind w:left="34"/>
              <w:rPr>
                <w:b/>
                <w:color w:val="FFFFFF" w:themeColor="background1"/>
                <w:sz w:val="19"/>
              </w:rPr>
            </w:pPr>
            <w:r w:rsidRPr="00662D1A">
              <w:rPr>
                <w:b/>
                <w:color w:val="FFFFFF" w:themeColor="background1"/>
                <w:w w:val="105"/>
                <w:sz w:val="19"/>
              </w:rPr>
              <w:t>FREQUENCY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75B1E695" w14:textId="77777777" w:rsidR="00662D1A" w:rsidRPr="00662D1A" w:rsidRDefault="00662D1A" w:rsidP="00C37605">
            <w:pPr>
              <w:pStyle w:val="TableParagraph"/>
              <w:spacing w:before="13"/>
              <w:ind w:left="35"/>
              <w:rPr>
                <w:b/>
                <w:color w:val="FFFFFF" w:themeColor="background1"/>
                <w:sz w:val="19"/>
              </w:rPr>
            </w:pPr>
            <w:r w:rsidRPr="00662D1A">
              <w:rPr>
                <w:b/>
                <w:color w:val="FFFFFF" w:themeColor="background1"/>
                <w:w w:val="105"/>
                <w:sz w:val="19"/>
              </w:rPr>
              <w:t>RESPONSIBLE PERSON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44E7D8BE" w14:textId="77777777" w:rsidR="00662D1A" w:rsidRPr="00662D1A" w:rsidRDefault="00662D1A" w:rsidP="00C37605">
            <w:pPr>
              <w:pStyle w:val="TableParagraph"/>
              <w:tabs>
                <w:tab w:val="left" w:pos="1025"/>
              </w:tabs>
              <w:spacing w:before="0" w:line="230" w:lineRule="atLeast"/>
              <w:ind w:left="36" w:right="217"/>
              <w:rPr>
                <w:b/>
                <w:color w:val="FFFFFF" w:themeColor="background1"/>
                <w:sz w:val="19"/>
              </w:rPr>
            </w:pPr>
            <w:r w:rsidRPr="00662D1A">
              <w:rPr>
                <w:b/>
                <w:color w:val="FFFFFF" w:themeColor="background1"/>
                <w:w w:val="105"/>
                <w:sz w:val="19"/>
              </w:rPr>
              <w:t>WHERE</w:t>
            </w:r>
            <w:r w:rsidRPr="00662D1A">
              <w:rPr>
                <w:b/>
                <w:color w:val="FFFFFF" w:themeColor="background1"/>
                <w:w w:val="105"/>
                <w:sz w:val="19"/>
              </w:rPr>
              <w:tab/>
              <w:t>Continuous or</w:t>
            </w:r>
            <w:r w:rsidRPr="00662D1A">
              <w:rPr>
                <w:b/>
                <w:color w:val="FFFFFF" w:themeColor="background1"/>
                <w:spacing w:val="-53"/>
                <w:w w:val="105"/>
                <w:sz w:val="19"/>
              </w:rPr>
              <w:t xml:space="preserve"> </w:t>
            </w:r>
            <w:r w:rsidRPr="00662D1A">
              <w:rPr>
                <w:b/>
                <w:color w:val="FFFFFF" w:themeColor="background1"/>
                <w:w w:val="105"/>
                <w:sz w:val="19"/>
              </w:rPr>
              <w:t>HOUSED</w:t>
            </w:r>
            <w:r w:rsidRPr="00662D1A">
              <w:rPr>
                <w:b/>
                <w:color w:val="FFFFFF" w:themeColor="background1"/>
                <w:spacing w:val="24"/>
                <w:w w:val="105"/>
                <w:sz w:val="19"/>
              </w:rPr>
              <w:t xml:space="preserve"> </w:t>
            </w:r>
            <w:r w:rsidRPr="00662D1A">
              <w:rPr>
                <w:b/>
                <w:color w:val="FFFFFF" w:themeColor="background1"/>
                <w:w w:val="105"/>
                <w:sz w:val="19"/>
              </w:rPr>
              <w:t>Discrete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0D72B92F" w14:textId="77777777" w:rsidR="00662D1A" w:rsidRPr="00662D1A" w:rsidRDefault="00662D1A" w:rsidP="00C37605">
            <w:pPr>
              <w:pStyle w:val="TableParagraph"/>
              <w:spacing w:before="13"/>
              <w:ind w:left="37"/>
              <w:rPr>
                <w:b/>
                <w:color w:val="FFFFFF" w:themeColor="background1"/>
                <w:sz w:val="19"/>
              </w:rPr>
            </w:pPr>
            <w:r w:rsidRPr="00662D1A">
              <w:rPr>
                <w:b/>
                <w:color w:val="FFFFFF" w:themeColor="background1"/>
                <w:w w:val="105"/>
                <w:sz w:val="19"/>
              </w:rPr>
              <w:t>How will</w:t>
            </w:r>
            <w:r w:rsidRPr="00662D1A">
              <w:rPr>
                <w:b/>
                <w:color w:val="FFFFFF" w:themeColor="background1"/>
                <w:spacing w:val="-2"/>
                <w:w w:val="105"/>
                <w:sz w:val="19"/>
              </w:rPr>
              <w:t xml:space="preserve"> </w:t>
            </w:r>
            <w:r w:rsidRPr="00662D1A">
              <w:rPr>
                <w:b/>
                <w:color w:val="FFFFFF" w:themeColor="background1"/>
                <w:w w:val="105"/>
                <w:sz w:val="19"/>
              </w:rPr>
              <w:t>Rel</w:t>
            </w:r>
            <w:r w:rsidRPr="00662D1A">
              <w:rPr>
                <w:b/>
                <w:color w:val="FFFFFF" w:themeColor="background1"/>
                <w:spacing w:val="-2"/>
                <w:w w:val="105"/>
                <w:sz w:val="19"/>
              </w:rPr>
              <w:t xml:space="preserve"> </w:t>
            </w:r>
            <w:r w:rsidRPr="00662D1A">
              <w:rPr>
                <w:b/>
                <w:color w:val="FFFFFF" w:themeColor="background1"/>
                <w:w w:val="105"/>
                <w:sz w:val="19"/>
              </w:rPr>
              <w:t>/Validity</w:t>
            </w:r>
            <w:r w:rsidRPr="00662D1A">
              <w:rPr>
                <w:b/>
                <w:color w:val="FFFFFF" w:themeColor="background1"/>
                <w:spacing w:val="-1"/>
                <w:w w:val="105"/>
                <w:sz w:val="19"/>
              </w:rPr>
              <w:t xml:space="preserve"> </w:t>
            </w:r>
            <w:r w:rsidRPr="00662D1A">
              <w:rPr>
                <w:b/>
                <w:color w:val="FFFFFF" w:themeColor="background1"/>
                <w:w w:val="105"/>
                <w:sz w:val="19"/>
              </w:rPr>
              <w:t>be</w:t>
            </w:r>
            <w:r w:rsidRPr="00662D1A">
              <w:rPr>
                <w:b/>
                <w:color w:val="FFFFFF" w:themeColor="background1"/>
                <w:spacing w:val="-1"/>
                <w:w w:val="105"/>
                <w:sz w:val="19"/>
              </w:rPr>
              <w:t xml:space="preserve"> </w:t>
            </w:r>
            <w:r w:rsidRPr="00662D1A">
              <w:rPr>
                <w:b/>
                <w:color w:val="FFFFFF" w:themeColor="background1"/>
                <w:w w:val="105"/>
                <w:sz w:val="19"/>
              </w:rPr>
              <w:t>assessed</w:t>
            </w:r>
          </w:p>
        </w:tc>
      </w:tr>
      <w:tr w:rsidR="00662D1A" w14:paraId="4C4D3DB7" w14:textId="77777777" w:rsidTr="00C0029B">
        <w:trPr>
          <w:trHeight w:val="1047"/>
        </w:trPr>
        <w:tc>
          <w:tcPr>
            <w:tcW w:w="1795" w:type="dxa"/>
            <w:tcBorders>
              <w:top w:val="nil"/>
            </w:tcBorders>
            <w:shd w:val="clear" w:color="auto" w:fill="FFF2CC" w:themeFill="accent4" w:themeFillTint="33"/>
          </w:tcPr>
          <w:p w14:paraId="27B45F33" w14:textId="365C697E" w:rsidR="00662D1A" w:rsidRDefault="00662D1A" w:rsidP="00C37605">
            <w:pPr>
              <w:pStyle w:val="TableParagraph"/>
              <w:spacing w:line="252" w:lineRule="auto"/>
              <w:ind w:right="30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X – </w:t>
            </w:r>
            <w:r w:rsidR="00A571F1">
              <w:rPr>
                <w:b/>
                <w:w w:val="105"/>
                <w:sz w:val="19"/>
              </w:rPr>
              <w:t>ML</w:t>
            </w:r>
            <w:r w:rsidR="00EA5FDE">
              <w:rPr>
                <w:b/>
                <w:w w:val="105"/>
                <w:sz w:val="19"/>
              </w:rPr>
              <w:t xml:space="preserve"> MRI </w:t>
            </w:r>
            <w:r w:rsidR="00731AD0">
              <w:rPr>
                <w:b/>
                <w:w w:val="105"/>
                <w:sz w:val="19"/>
              </w:rPr>
              <w:t>read</w:t>
            </w:r>
            <w:r w:rsidR="00EA5FDE">
              <w:rPr>
                <w:b/>
                <w:w w:val="105"/>
                <w:sz w:val="19"/>
              </w:rPr>
              <w:t xml:space="preserve"> on symptomatic FAI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FF2CC" w:themeFill="accent4" w:themeFillTint="33"/>
          </w:tcPr>
          <w:p w14:paraId="4DB4EA10" w14:textId="2AF124AD" w:rsidR="00662D1A" w:rsidRDefault="00662D1A" w:rsidP="00C37605">
            <w:pPr>
              <w:pStyle w:val="TableParagraph"/>
              <w:spacing w:line="252" w:lineRule="auto"/>
              <w:ind w:right="105"/>
              <w:rPr>
                <w:sz w:val="19"/>
              </w:rPr>
            </w:pPr>
          </w:p>
        </w:tc>
        <w:tc>
          <w:tcPr>
            <w:tcW w:w="1977" w:type="dxa"/>
            <w:tcBorders>
              <w:top w:val="nil"/>
            </w:tcBorders>
            <w:shd w:val="clear" w:color="auto" w:fill="FFF2CC" w:themeFill="accent4" w:themeFillTint="33"/>
          </w:tcPr>
          <w:p w14:paraId="30844D0B" w14:textId="577EB7C3" w:rsidR="00662D1A" w:rsidRDefault="00662D1A" w:rsidP="00C37605">
            <w:pPr>
              <w:pStyle w:val="TableParagraph"/>
              <w:ind w:left="29"/>
              <w:rPr>
                <w:sz w:val="19"/>
              </w:rPr>
            </w:pPr>
          </w:p>
        </w:tc>
        <w:tc>
          <w:tcPr>
            <w:tcW w:w="2159" w:type="dxa"/>
            <w:tcBorders>
              <w:top w:val="nil"/>
            </w:tcBorders>
            <w:shd w:val="clear" w:color="auto" w:fill="FFF2CC" w:themeFill="accent4" w:themeFillTint="33"/>
          </w:tcPr>
          <w:p w14:paraId="5E8C61AE" w14:textId="335CA402" w:rsidR="00662D1A" w:rsidRDefault="00662D1A" w:rsidP="00C37605">
            <w:pPr>
              <w:pStyle w:val="TableParagraph"/>
              <w:ind w:left="29"/>
              <w:rPr>
                <w:sz w:val="19"/>
              </w:rPr>
            </w:pPr>
          </w:p>
        </w:tc>
        <w:tc>
          <w:tcPr>
            <w:tcW w:w="2879" w:type="dxa"/>
            <w:tcBorders>
              <w:top w:val="nil"/>
            </w:tcBorders>
            <w:shd w:val="clear" w:color="auto" w:fill="FFF2CC" w:themeFill="accent4" w:themeFillTint="33"/>
          </w:tcPr>
          <w:p w14:paraId="4A8C4360" w14:textId="2B3EF4E1" w:rsidR="00662D1A" w:rsidRDefault="00662D1A" w:rsidP="00C37605">
            <w:pPr>
              <w:pStyle w:val="TableParagraph"/>
              <w:ind w:left="30"/>
              <w:rPr>
                <w:sz w:val="19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FFF2CC" w:themeFill="accent4" w:themeFillTint="33"/>
          </w:tcPr>
          <w:p w14:paraId="02019AB0" w14:textId="77777777" w:rsidR="00662D1A" w:rsidRDefault="00662D1A" w:rsidP="00C37605">
            <w:pPr>
              <w:pStyle w:val="TableParagraph"/>
              <w:ind w:left="3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REDCap</w:t>
            </w:r>
            <w:proofErr w:type="spellEnd"/>
          </w:p>
        </w:tc>
        <w:tc>
          <w:tcPr>
            <w:tcW w:w="1622" w:type="dxa"/>
            <w:tcBorders>
              <w:top w:val="nil"/>
            </w:tcBorders>
            <w:shd w:val="clear" w:color="auto" w:fill="FFF2CC" w:themeFill="accent4" w:themeFillTint="33"/>
          </w:tcPr>
          <w:p w14:paraId="1297F921" w14:textId="1CE58D30" w:rsidR="00662D1A" w:rsidRDefault="00662D1A" w:rsidP="00C37605">
            <w:pPr>
              <w:pStyle w:val="TableParagraph"/>
              <w:spacing w:line="252" w:lineRule="auto"/>
              <w:ind w:left="32" w:right="141"/>
              <w:rPr>
                <w:sz w:val="19"/>
              </w:rPr>
            </w:pPr>
            <w:r>
              <w:rPr>
                <w:w w:val="105"/>
                <w:sz w:val="19"/>
              </w:rPr>
              <w:t xml:space="preserve">Discrete </w:t>
            </w:r>
          </w:p>
        </w:tc>
        <w:tc>
          <w:tcPr>
            <w:tcW w:w="3864" w:type="dxa"/>
            <w:tcBorders>
              <w:top w:val="nil"/>
            </w:tcBorders>
            <w:shd w:val="clear" w:color="auto" w:fill="FFF2CC" w:themeFill="accent4" w:themeFillTint="33"/>
          </w:tcPr>
          <w:p w14:paraId="222A5009" w14:textId="236A8907" w:rsidR="00662D1A" w:rsidRDefault="00662D1A" w:rsidP="00C37605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</w:p>
        </w:tc>
      </w:tr>
      <w:tr w:rsidR="00EA5FDE" w14:paraId="6E6D1FB5" w14:textId="77777777" w:rsidTr="00C0029B">
        <w:trPr>
          <w:trHeight w:val="1343"/>
        </w:trPr>
        <w:tc>
          <w:tcPr>
            <w:tcW w:w="1795" w:type="dxa"/>
          </w:tcPr>
          <w:p w14:paraId="632021BB" w14:textId="18932E54" w:rsidR="00EA5FDE" w:rsidRDefault="00EA5FDE" w:rsidP="00EA5FDE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Y0 – </w:t>
            </w:r>
            <w:r w:rsidR="00731AD0">
              <w:rPr>
                <w:b/>
                <w:w w:val="105"/>
                <w:sz w:val="19"/>
              </w:rPr>
              <w:t>FAI history/exam</w:t>
            </w:r>
          </w:p>
        </w:tc>
        <w:tc>
          <w:tcPr>
            <w:tcW w:w="1982" w:type="dxa"/>
          </w:tcPr>
          <w:p w14:paraId="62BADC8C" w14:textId="77777777" w:rsidR="00EA5FDE" w:rsidRDefault="00EA5FDE" w:rsidP="00EA5FDE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Patient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chart</w:t>
            </w:r>
          </w:p>
        </w:tc>
        <w:tc>
          <w:tcPr>
            <w:tcW w:w="1977" w:type="dxa"/>
          </w:tcPr>
          <w:p w14:paraId="35ABC9FE" w14:textId="77777777" w:rsidR="00EA5FDE" w:rsidRDefault="00EA5FDE" w:rsidP="00EA5FDE">
            <w:pPr>
              <w:pStyle w:val="TableParagraph"/>
              <w:spacing w:line="252" w:lineRule="auto"/>
              <w:ind w:left="29" w:right="543"/>
              <w:rPr>
                <w:sz w:val="19"/>
              </w:rPr>
            </w:pPr>
            <w:r>
              <w:rPr>
                <w:w w:val="105"/>
                <w:sz w:val="19"/>
              </w:rPr>
              <w:t>Electronic chart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abstraction</w:t>
            </w:r>
          </w:p>
        </w:tc>
        <w:tc>
          <w:tcPr>
            <w:tcW w:w="2159" w:type="dxa"/>
          </w:tcPr>
          <w:p w14:paraId="1A70D4AA" w14:textId="750225BC" w:rsidR="00EA5FDE" w:rsidRDefault="00EA5FDE" w:rsidP="00EA5FDE">
            <w:pPr>
              <w:pStyle w:val="TableParagraph"/>
              <w:spacing w:line="252" w:lineRule="auto"/>
              <w:ind w:left="29" w:right="79"/>
              <w:rPr>
                <w:sz w:val="19"/>
              </w:rPr>
            </w:pPr>
            <w:r>
              <w:rPr>
                <w:w w:val="105"/>
                <w:sz w:val="19"/>
              </w:rPr>
              <w:t>One time, follow up visit</w:t>
            </w:r>
          </w:p>
          <w:p w14:paraId="759B4ADB" w14:textId="284BA3F6" w:rsidR="00EA5FDE" w:rsidRDefault="00EA5FDE" w:rsidP="00EA5FDE">
            <w:pPr>
              <w:pStyle w:val="TableParagraph"/>
              <w:spacing w:before="3" w:line="206" w:lineRule="exact"/>
              <w:ind w:left="29"/>
              <w:rPr>
                <w:sz w:val="19"/>
              </w:rPr>
            </w:pPr>
          </w:p>
        </w:tc>
        <w:tc>
          <w:tcPr>
            <w:tcW w:w="2879" w:type="dxa"/>
          </w:tcPr>
          <w:p w14:paraId="35359484" w14:textId="2042592D" w:rsidR="00924D61" w:rsidRDefault="00EA5FDE" w:rsidP="00EA5FDE">
            <w:pPr>
              <w:pStyle w:val="TableParagraph"/>
              <w:ind w:left="3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Hip specialist</w:t>
            </w:r>
            <w:r w:rsidR="00731AD0">
              <w:rPr>
                <w:w w:val="105"/>
                <w:sz w:val="19"/>
              </w:rPr>
              <w:t xml:space="preserve"> </w:t>
            </w:r>
            <w:r w:rsidR="00924D61">
              <w:rPr>
                <w:w w:val="105"/>
                <w:sz w:val="19"/>
              </w:rPr>
              <w:t>(</w:t>
            </w:r>
            <w:r w:rsidR="00731AD0">
              <w:rPr>
                <w:w w:val="105"/>
                <w:sz w:val="19"/>
              </w:rPr>
              <w:t>H</w:t>
            </w:r>
            <w:r w:rsidR="00924D61">
              <w:rPr>
                <w:w w:val="105"/>
                <w:sz w:val="19"/>
              </w:rPr>
              <w:t>S</w:t>
            </w:r>
            <w:r w:rsidR="00731AD0">
              <w:rPr>
                <w:w w:val="105"/>
                <w:sz w:val="19"/>
              </w:rPr>
              <w:t>)</w:t>
            </w:r>
          </w:p>
          <w:p w14:paraId="6193B03D" w14:textId="0E71F7BC" w:rsidR="00EA5FDE" w:rsidRDefault="00924D61" w:rsidP="00EA5FDE">
            <w:pPr>
              <w:pStyle w:val="TableParagraph"/>
              <w:ind w:left="3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 w:rsidR="00EA5FDE">
              <w:rPr>
                <w:w w:val="105"/>
                <w:sz w:val="19"/>
              </w:rPr>
              <w:t>ffice staff</w:t>
            </w:r>
          </w:p>
        </w:tc>
        <w:tc>
          <w:tcPr>
            <w:tcW w:w="988" w:type="dxa"/>
          </w:tcPr>
          <w:p w14:paraId="79DCF796" w14:textId="77777777" w:rsidR="00EA5FDE" w:rsidRDefault="00EA5FDE" w:rsidP="00EA5FDE">
            <w:pPr>
              <w:pStyle w:val="TableParagraph"/>
              <w:ind w:left="3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REDCap</w:t>
            </w:r>
            <w:proofErr w:type="spellEnd"/>
          </w:p>
        </w:tc>
        <w:tc>
          <w:tcPr>
            <w:tcW w:w="1622" w:type="dxa"/>
          </w:tcPr>
          <w:p w14:paraId="2D13371F" w14:textId="00CA7932" w:rsidR="00EA5FDE" w:rsidRDefault="00EA5FDE" w:rsidP="00EA5FDE">
            <w:pPr>
              <w:pStyle w:val="TableParagraph"/>
              <w:ind w:left="32"/>
              <w:rPr>
                <w:sz w:val="19"/>
              </w:rPr>
            </w:pPr>
            <w:r w:rsidRPr="00860CA0">
              <w:rPr>
                <w:w w:val="105"/>
                <w:sz w:val="19"/>
              </w:rPr>
              <w:t xml:space="preserve">Discrete </w:t>
            </w:r>
          </w:p>
        </w:tc>
        <w:tc>
          <w:tcPr>
            <w:tcW w:w="3864" w:type="dxa"/>
          </w:tcPr>
          <w:p w14:paraId="219BBB4C" w14:textId="480081FB" w:rsidR="00EA5FDE" w:rsidRDefault="00EA5FDE" w:rsidP="00EA5FDE">
            <w:pPr>
              <w:pStyle w:val="TableParagraph"/>
              <w:spacing w:before="3" w:line="206" w:lineRule="exact"/>
              <w:ind w:left="32"/>
              <w:rPr>
                <w:sz w:val="19"/>
              </w:rPr>
            </w:pPr>
            <w:r>
              <w:rPr>
                <w:w w:val="105"/>
                <w:sz w:val="19"/>
              </w:rPr>
              <w:t xml:space="preserve">Data will be reviewed by independent </w:t>
            </w:r>
            <w:r w:rsidR="00924D61">
              <w:rPr>
                <w:w w:val="105"/>
                <w:sz w:val="19"/>
              </w:rPr>
              <w:t>HS</w:t>
            </w:r>
          </w:p>
        </w:tc>
      </w:tr>
      <w:tr w:rsidR="00EA5FDE" w14:paraId="37849CDF" w14:textId="77777777" w:rsidTr="00662D1A">
        <w:trPr>
          <w:trHeight w:val="921"/>
        </w:trPr>
        <w:tc>
          <w:tcPr>
            <w:tcW w:w="1795" w:type="dxa"/>
            <w:shd w:val="clear" w:color="auto" w:fill="FFF2CC" w:themeFill="accent4" w:themeFillTint="33"/>
          </w:tcPr>
          <w:p w14:paraId="3B3CAA72" w14:textId="4F8BB5B0" w:rsidR="00EA5FDE" w:rsidRDefault="00EA5FDE" w:rsidP="00EA5FDE">
            <w:pPr>
              <w:pStyle w:val="TableParagraph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 xml:space="preserve">Y1 – </w:t>
            </w:r>
            <w:r w:rsidR="00831FA6">
              <w:rPr>
                <w:b/>
                <w:w w:val="105"/>
                <w:sz w:val="19"/>
              </w:rPr>
              <w:t xml:space="preserve">Digital Hip Series </w:t>
            </w:r>
            <w:proofErr w:type="spellStart"/>
            <w:r w:rsidR="00831FA6">
              <w:rPr>
                <w:b/>
                <w:w w:val="105"/>
                <w:sz w:val="19"/>
              </w:rPr>
              <w:t>Xrays</w:t>
            </w:r>
            <w:proofErr w:type="spellEnd"/>
            <w:r w:rsidR="00831FA6">
              <w:rPr>
                <w:b/>
                <w:w w:val="105"/>
                <w:sz w:val="19"/>
              </w:rPr>
              <w:t xml:space="preserve"> </w:t>
            </w:r>
          </w:p>
          <w:p w14:paraId="516808C1" w14:textId="66D498DB" w:rsidR="00831FA6" w:rsidRDefault="00831FA6" w:rsidP="00EA5FDE">
            <w:pPr>
              <w:pStyle w:val="TableParagraph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(Weight bearing AP pelvis, False profile, Dunn view)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14DD15EB" w14:textId="44887644" w:rsidR="0043529B" w:rsidRDefault="00831FA6" w:rsidP="00731AD0">
            <w:pPr>
              <w:pStyle w:val="TableParagraph"/>
              <w:spacing w:before="3" w:line="206" w:lineRule="exact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Imaging Centers</w:t>
            </w:r>
          </w:p>
          <w:p w14:paraId="57CDAB4C" w14:textId="77777777" w:rsidR="00831FA6" w:rsidRDefault="00831FA6" w:rsidP="00731AD0">
            <w:pPr>
              <w:pStyle w:val="TableParagraph"/>
              <w:spacing w:before="3" w:line="206" w:lineRule="exact"/>
              <w:rPr>
                <w:w w:val="105"/>
                <w:sz w:val="19"/>
              </w:rPr>
            </w:pPr>
          </w:p>
          <w:p w14:paraId="1BE81FEC" w14:textId="515C2A40" w:rsidR="00831FA6" w:rsidRDefault="00831FA6" w:rsidP="00731AD0">
            <w:pPr>
              <w:pStyle w:val="TableParagraph"/>
              <w:spacing w:before="3" w:line="206" w:lineRule="exact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Institutions</w:t>
            </w:r>
          </w:p>
          <w:p w14:paraId="5D6BB8B9" w14:textId="7747409A" w:rsidR="00924D61" w:rsidRPr="00731AD0" w:rsidRDefault="00924D61" w:rsidP="0043529B">
            <w:pPr>
              <w:pStyle w:val="TableParagraph"/>
              <w:spacing w:before="3" w:line="206" w:lineRule="exact"/>
              <w:rPr>
                <w:w w:val="105"/>
                <w:sz w:val="19"/>
              </w:rPr>
            </w:pPr>
          </w:p>
        </w:tc>
        <w:tc>
          <w:tcPr>
            <w:tcW w:w="1977" w:type="dxa"/>
            <w:shd w:val="clear" w:color="auto" w:fill="FFF2CC" w:themeFill="accent4" w:themeFillTint="33"/>
          </w:tcPr>
          <w:p w14:paraId="0B00A73F" w14:textId="2594FD38" w:rsidR="00A65D42" w:rsidRDefault="00831FA6" w:rsidP="00A65D42">
            <w:pPr>
              <w:pStyle w:val="TableParagraph"/>
              <w:spacing w:before="3" w:line="206" w:lineRule="exact"/>
              <w:ind w:left="2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U</w:t>
            </w:r>
            <w:r w:rsidR="00A65D42">
              <w:rPr>
                <w:w w:val="105"/>
                <w:sz w:val="19"/>
              </w:rPr>
              <w:t>pload</w:t>
            </w:r>
            <w:r>
              <w:rPr>
                <w:w w:val="105"/>
                <w:sz w:val="19"/>
              </w:rPr>
              <w:t xml:space="preserve"> digital </w:t>
            </w:r>
            <w:proofErr w:type="spellStart"/>
            <w:r>
              <w:rPr>
                <w:w w:val="105"/>
                <w:sz w:val="19"/>
              </w:rPr>
              <w:t>xrays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 w:rsidR="00A65D42">
              <w:rPr>
                <w:w w:val="105"/>
                <w:sz w:val="19"/>
              </w:rPr>
              <w:t xml:space="preserve">onto </w:t>
            </w:r>
            <w:r>
              <w:rPr>
                <w:w w:val="105"/>
                <w:sz w:val="19"/>
              </w:rPr>
              <w:t xml:space="preserve">Weill Cornell </w:t>
            </w:r>
            <w:proofErr w:type="spellStart"/>
            <w:r w:rsidR="00A65D42">
              <w:rPr>
                <w:w w:val="105"/>
                <w:sz w:val="19"/>
              </w:rPr>
              <w:t>Ambra</w:t>
            </w:r>
            <w:proofErr w:type="spellEnd"/>
          </w:p>
          <w:p w14:paraId="596D4E28" w14:textId="77777777" w:rsidR="00831FA6" w:rsidRDefault="00831FA6" w:rsidP="00A65D42">
            <w:pPr>
              <w:pStyle w:val="TableParagraph"/>
              <w:spacing w:before="3" w:line="206" w:lineRule="exact"/>
              <w:ind w:left="29"/>
              <w:rPr>
                <w:w w:val="105"/>
                <w:sz w:val="19"/>
              </w:rPr>
            </w:pPr>
          </w:p>
          <w:p w14:paraId="0A9FD566" w14:textId="5FC310ED" w:rsidR="00EA5FDE" w:rsidRDefault="00924D61" w:rsidP="00A65D42">
            <w:pPr>
              <w:pStyle w:val="TableParagraph"/>
              <w:spacing w:before="3" w:line="206" w:lineRule="exact"/>
              <w:ind w:left="2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Digitally m</w:t>
            </w:r>
            <w:r w:rsidR="00731AD0">
              <w:rPr>
                <w:w w:val="105"/>
                <w:sz w:val="19"/>
              </w:rPr>
              <w:t>easured alpha angle</w:t>
            </w:r>
            <w:r>
              <w:rPr>
                <w:w w:val="105"/>
                <w:sz w:val="19"/>
              </w:rPr>
              <w:t xml:space="preserve"> </w:t>
            </w:r>
          </w:p>
          <w:p w14:paraId="2B972153" w14:textId="5BC09F87" w:rsidR="0043529B" w:rsidRDefault="0043529B" w:rsidP="0043529B">
            <w:pPr>
              <w:pStyle w:val="TableParagraph"/>
              <w:spacing w:before="3" w:line="206" w:lineRule="exact"/>
              <w:rPr>
                <w:w w:val="105"/>
                <w:sz w:val="19"/>
              </w:rPr>
            </w:pPr>
          </w:p>
          <w:p w14:paraId="2BDD856C" w14:textId="7058F608" w:rsidR="0043529B" w:rsidRDefault="0043529B" w:rsidP="00EA5FDE">
            <w:pPr>
              <w:pStyle w:val="TableParagraph"/>
              <w:spacing w:before="3" w:line="206" w:lineRule="exact"/>
              <w:ind w:left="29"/>
              <w:rPr>
                <w:sz w:val="19"/>
              </w:rPr>
            </w:pPr>
          </w:p>
        </w:tc>
        <w:tc>
          <w:tcPr>
            <w:tcW w:w="2159" w:type="dxa"/>
            <w:shd w:val="clear" w:color="auto" w:fill="FFF2CC" w:themeFill="accent4" w:themeFillTint="33"/>
          </w:tcPr>
          <w:p w14:paraId="6C545247" w14:textId="322CD810" w:rsidR="00EA5FDE" w:rsidRDefault="00EA5FDE" w:rsidP="00EA5FDE">
            <w:pPr>
              <w:pStyle w:val="TableParagraph"/>
              <w:spacing w:line="252" w:lineRule="auto"/>
              <w:ind w:left="29" w:right="303"/>
              <w:rPr>
                <w:sz w:val="19"/>
              </w:rPr>
            </w:pPr>
            <w:r>
              <w:rPr>
                <w:w w:val="105"/>
                <w:sz w:val="19"/>
              </w:rPr>
              <w:t xml:space="preserve">One time 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14:paraId="6C94DBEB" w14:textId="1CD2E8E5" w:rsidR="00EA5FDE" w:rsidRDefault="0043529B" w:rsidP="00EA5FDE">
            <w:pPr>
              <w:pStyle w:val="TableParagraph"/>
              <w:spacing w:before="3" w:line="206" w:lineRule="exact"/>
              <w:ind w:left="3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1) Research assistant</w:t>
            </w:r>
            <w:r w:rsidR="00A56AD8">
              <w:rPr>
                <w:w w:val="105"/>
                <w:sz w:val="19"/>
              </w:rPr>
              <w:t xml:space="preserve"> (RA)</w:t>
            </w:r>
            <w:r w:rsidR="0066110B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 </w:t>
            </w:r>
            <w:r w:rsidR="0066110B">
              <w:rPr>
                <w:w w:val="105"/>
                <w:sz w:val="19"/>
              </w:rPr>
              <w:t>(</w:t>
            </w:r>
            <w:r>
              <w:rPr>
                <w:w w:val="105"/>
                <w:sz w:val="19"/>
              </w:rPr>
              <w:t>upload imaging</w:t>
            </w:r>
            <w:r w:rsidR="0066110B">
              <w:rPr>
                <w:w w:val="105"/>
                <w:sz w:val="19"/>
              </w:rPr>
              <w:t xml:space="preserve"> onto </w:t>
            </w:r>
            <w:proofErr w:type="spellStart"/>
            <w:r w:rsidR="0066110B">
              <w:rPr>
                <w:w w:val="105"/>
                <w:sz w:val="19"/>
              </w:rPr>
              <w:t>Ambra</w:t>
            </w:r>
            <w:proofErr w:type="spellEnd"/>
            <w:r w:rsidR="0066110B">
              <w:rPr>
                <w:w w:val="105"/>
                <w:sz w:val="19"/>
              </w:rPr>
              <w:t>)</w:t>
            </w:r>
          </w:p>
          <w:p w14:paraId="35EEB5AF" w14:textId="77777777" w:rsidR="0043529B" w:rsidRDefault="0043529B" w:rsidP="00EA5FDE">
            <w:pPr>
              <w:pStyle w:val="TableParagraph"/>
              <w:spacing w:before="3" w:line="206" w:lineRule="exact"/>
              <w:ind w:left="30"/>
              <w:rPr>
                <w:w w:val="105"/>
                <w:sz w:val="19"/>
              </w:rPr>
            </w:pPr>
          </w:p>
          <w:p w14:paraId="7121484F" w14:textId="394C012A" w:rsidR="00731AD0" w:rsidRDefault="0043529B" w:rsidP="00EA5FDE">
            <w:pPr>
              <w:pStyle w:val="TableParagraph"/>
              <w:spacing w:before="3" w:line="206" w:lineRule="exact"/>
              <w:ind w:left="30"/>
              <w:rPr>
                <w:sz w:val="19"/>
              </w:rPr>
            </w:pPr>
            <w:r>
              <w:rPr>
                <w:w w:val="105"/>
                <w:sz w:val="19"/>
              </w:rPr>
              <w:t xml:space="preserve">2) </w:t>
            </w:r>
            <w:r w:rsidR="00924D61">
              <w:rPr>
                <w:w w:val="105"/>
                <w:sz w:val="19"/>
              </w:rPr>
              <w:t>HS</w:t>
            </w:r>
            <w:r w:rsidR="00731AD0">
              <w:rPr>
                <w:w w:val="105"/>
                <w:sz w:val="19"/>
              </w:rPr>
              <w:t xml:space="preserve"> interpretation of radiographs.</w:t>
            </w:r>
          </w:p>
        </w:tc>
        <w:tc>
          <w:tcPr>
            <w:tcW w:w="988" w:type="dxa"/>
            <w:shd w:val="clear" w:color="auto" w:fill="FFF2CC" w:themeFill="accent4" w:themeFillTint="33"/>
          </w:tcPr>
          <w:p w14:paraId="24E000B4" w14:textId="77777777" w:rsidR="00EA5FDE" w:rsidRDefault="00EA5FDE" w:rsidP="00EA5FDE">
            <w:pPr>
              <w:pStyle w:val="TableParagraph"/>
              <w:ind w:left="3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REDCap</w:t>
            </w:r>
            <w:proofErr w:type="spellEnd"/>
          </w:p>
        </w:tc>
        <w:tc>
          <w:tcPr>
            <w:tcW w:w="1622" w:type="dxa"/>
            <w:shd w:val="clear" w:color="auto" w:fill="FFF2CC" w:themeFill="accent4" w:themeFillTint="33"/>
          </w:tcPr>
          <w:p w14:paraId="4087B290" w14:textId="4F773120" w:rsidR="00EA5FDE" w:rsidRDefault="00EA5FDE" w:rsidP="00EA5FDE">
            <w:pPr>
              <w:pStyle w:val="TableParagraph"/>
              <w:ind w:left="32"/>
              <w:rPr>
                <w:sz w:val="19"/>
              </w:rPr>
            </w:pPr>
            <w:r w:rsidRPr="00860CA0">
              <w:rPr>
                <w:w w:val="105"/>
                <w:sz w:val="19"/>
              </w:rPr>
              <w:t xml:space="preserve">Discrete </w:t>
            </w:r>
          </w:p>
        </w:tc>
        <w:tc>
          <w:tcPr>
            <w:tcW w:w="3864" w:type="dxa"/>
            <w:shd w:val="clear" w:color="auto" w:fill="FFF2CC" w:themeFill="accent4" w:themeFillTint="33"/>
          </w:tcPr>
          <w:p w14:paraId="613D0553" w14:textId="77777777" w:rsidR="00EA5FDE" w:rsidRDefault="00731AD0" w:rsidP="00EA5FDE">
            <w:pPr>
              <w:pStyle w:val="TableParagraph"/>
              <w:spacing w:line="252" w:lineRule="auto"/>
              <w:ind w:left="32" w:right="408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X-ray interpretation by independent </w:t>
            </w:r>
            <w:r w:rsidR="00924D61">
              <w:rPr>
                <w:w w:val="105"/>
                <w:sz w:val="19"/>
              </w:rPr>
              <w:t>HS</w:t>
            </w:r>
            <w:r w:rsidR="0066110B">
              <w:rPr>
                <w:w w:val="105"/>
                <w:sz w:val="19"/>
              </w:rPr>
              <w:t xml:space="preserve">.  </w:t>
            </w:r>
          </w:p>
          <w:p w14:paraId="30DA087E" w14:textId="5FB3AD88" w:rsidR="0066110B" w:rsidRDefault="0066110B" w:rsidP="00EA5FDE">
            <w:pPr>
              <w:pStyle w:val="TableParagraph"/>
              <w:spacing w:line="252" w:lineRule="auto"/>
              <w:ind w:left="32" w:right="408"/>
              <w:rPr>
                <w:sz w:val="19"/>
              </w:rPr>
            </w:pPr>
          </w:p>
        </w:tc>
      </w:tr>
      <w:tr w:rsidR="00EA5FDE" w14:paraId="2357CE0B" w14:textId="77777777" w:rsidTr="00C0029B">
        <w:trPr>
          <w:trHeight w:val="1190"/>
        </w:trPr>
        <w:tc>
          <w:tcPr>
            <w:tcW w:w="1795" w:type="dxa"/>
          </w:tcPr>
          <w:p w14:paraId="3825B1FC" w14:textId="563BAB24" w:rsidR="00EA5FDE" w:rsidRDefault="00EA5FDE" w:rsidP="0043529B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Y2 – </w:t>
            </w:r>
            <w:r w:rsidR="0043529B">
              <w:rPr>
                <w:b/>
                <w:w w:val="105"/>
                <w:sz w:val="19"/>
              </w:rPr>
              <w:t>MRI</w:t>
            </w:r>
          </w:p>
        </w:tc>
        <w:tc>
          <w:tcPr>
            <w:tcW w:w="1982" w:type="dxa"/>
          </w:tcPr>
          <w:p w14:paraId="77093588" w14:textId="0E259ABE" w:rsidR="00EA5FDE" w:rsidRDefault="00831FA6" w:rsidP="00EA5FDE">
            <w:pPr>
              <w:pStyle w:val="TableParagraph"/>
              <w:spacing w:before="3" w:line="206" w:lineRule="exact"/>
              <w:rPr>
                <w:sz w:val="19"/>
              </w:rPr>
            </w:pPr>
            <w:r>
              <w:rPr>
                <w:sz w:val="19"/>
              </w:rPr>
              <w:t>East River Imaging</w:t>
            </w:r>
            <w:r w:rsidR="00A56AD8">
              <w:rPr>
                <w:sz w:val="19"/>
              </w:rPr>
              <w:t xml:space="preserve"> (ERI)</w:t>
            </w:r>
          </w:p>
        </w:tc>
        <w:tc>
          <w:tcPr>
            <w:tcW w:w="1977" w:type="dxa"/>
          </w:tcPr>
          <w:p w14:paraId="374854F4" w14:textId="476EFDDE" w:rsidR="00EA5FDE" w:rsidRDefault="00831FA6" w:rsidP="00EA5FDE">
            <w:pPr>
              <w:pStyle w:val="TableParagraph"/>
              <w:spacing w:before="3" w:line="206" w:lineRule="exact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 xml:space="preserve">Upload MRI  onto Weill Cornell </w:t>
            </w:r>
            <w:proofErr w:type="spellStart"/>
            <w:r>
              <w:rPr>
                <w:w w:val="105"/>
                <w:sz w:val="19"/>
              </w:rPr>
              <w:t>Ambra</w:t>
            </w:r>
            <w:proofErr w:type="spellEnd"/>
          </w:p>
        </w:tc>
        <w:tc>
          <w:tcPr>
            <w:tcW w:w="2159" w:type="dxa"/>
          </w:tcPr>
          <w:p w14:paraId="6CEFF871" w14:textId="686F1520" w:rsidR="00EA5FDE" w:rsidRDefault="00EA5FDE" w:rsidP="00EA5FDE">
            <w:pPr>
              <w:pStyle w:val="TableParagraph"/>
              <w:spacing w:line="252" w:lineRule="auto"/>
              <w:ind w:left="29" w:right="303"/>
              <w:rPr>
                <w:sz w:val="19"/>
              </w:rPr>
            </w:pPr>
            <w:r>
              <w:rPr>
                <w:w w:val="105"/>
                <w:sz w:val="19"/>
              </w:rPr>
              <w:t xml:space="preserve">One time </w:t>
            </w:r>
          </w:p>
        </w:tc>
        <w:tc>
          <w:tcPr>
            <w:tcW w:w="2879" w:type="dxa"/>
          </w:tcPr>
          <w:p w14:paraId="12DCD472" w14:textId="77777777" w:rsidR="00EA5FDE" w:rsidRDefault="0066110B" w:rsidP="00EA5FDE">
            <w:pPr>
              <w:pStyle w:val="TableParagraph"/>
              <w:spacing w:before="3" w:line="206" w:lineRule="exact"/>
              <w:ind w:left="30"/>
              <w:rPr>
                <w:sz w:val="19"/>
              </w:rPr>
            </w:pPr>
            <w:r>
              <w:rPr>
                <w:sz w:val="19"/>
              </w:rPr>
              <w:t>Health care provider (HCP)</w:t>
            </w:r>
          </w:p>
          <w:p w14:paraId="126B7AD7" w14:textId="77777777" w:rsidR="0066110B" w:rsidRDefault="0066110B" w:rsidP="00EA5FDE">
            <w:pPr>
              <w:pStyle w:val="TableParagraph"/>
              <w:spacing w:before="3" w:line="206" w:lineRule="exact"/>
              <w:ind w:left="30"/>
              <w:rPr>
                <w:sz w:val="19"/>
              </w:rPr>
            </w:pPr>
            <w:r>
              <w:rPr>
                <w:sz w:val="19"/>
              </w:rPr>
              <w:t>HS</w:t>
            </w:r>
          </w:p>
          <w:p w14:paraId="66FF66B4" w14:textId="0DBAE65F" w:rsidR="0066110B" w:rsidRDefault="00A56AD8" w:rsidP="00EA5FDE">
            <w:pPr>
              <w:pStyle w:val="TableParagraph"/>
              <w:spacing w:before="3" w:line="206" w:lineRule="exact"/>
              <w:ind w:left="30"/>
              <w:rPr>
                <w:sz w:val="19"/>
              </w:rPr>
            </w:pPr>
            <w:r>
              <w:rPr>
                <w:sz w:val="19"/>
              </w:rPr>
              <w:t xml:space="preserve">RA </w:t>
            </w:r>
            <w:r w:rsidR="0066110B">
              <w:rPr>
                <w:sz w:val="19"/>
              </w:rPr>
              <w:t xml:space="preserve"> (upload imaging onto </w:t>
            </w:r>
            <w:proofErr w:type="spellStart"/>
            <w:r w:rsidR="0066110B">
              <w:rPr>
                <w:sz w:val="19"/>
              </w:rPr>
              <w:t>Ambra</w:t>
            </w:r>
            <w:proofErr w:type="spellEnd"/>
            <w:r w:rsidR="0066110B">
              <w:rPr>
                <w:sz w:val="19"/>
              </w:rPr>
              <w:t>)</w:t>
            </w:r>
          </w:p>
          <w:p w14:paraId="20A19DFC" w14:textId="64DE89C3" w:rsidR="0066110B" w:rsidRDefault="0066110B" w:rsidP="00EA5FDE">
            <w:pPr>
              <w:pStyle w:val="TableParagraph"/>
              <w:spacing w:before="3" w:line="206" w:lineRule="exact"/>
              <w:ind w:left="30"/>
              <w:rPr>
                <w:sz w:val="19"/>
              </w:rPr>
            </w:pPr>
            <w:r>
              <w:rPr>
                <w:sz w:val="19"/>
              </w:rPr>
              <w:t>Two Musculoskeletal radiologists (MSK R) will interpret MRI</w:t>
            </w:r>
          </w:p>
        </w:tc>
        <w:tc>
          <w:tcPr>
            <w:tcW w:w="988" w:type="dxa"/>
          </w:tcPr>
          <w:p w14:paraId="733686D7" w14:textId="77777777" w:rsidR="00EA5FDE" w:rsidRDefault="00EA5FDE" w:rsidP="00EA5FDE">
            <w:pPr>
              <w:pStyle w:val="TableParagraph"/>
              <w:ind w:left="3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REDCap</w:t>
            </w:r>
            <w:proofErr w:type="spellEnd"/>
          </w:p>
        </w:tc>
        <w:tc>
          <w:tcPr>
            <w:tcW w:w="1622" w:type="dxa"/>
          </w:tcPr>
          <w:p w14:paraId="0DDFCC16" w14:textId="026349EC" w:rsidR="00EA5FDE" w:rsidRDefault="00EA5FDE" w:rsidP="00EA5FDE">
            <w:pPr>
              <w:pStyle w:val="TableParagraph"/>
              <w:ind w:left="32"/>
              <w:rPr>
                <w:sz w:val="19"/>
              </w:rPr>
            </w:pPr>
            <w:r w:rsidRPr="00860CA0">
              <w:rPr>
                <w:w w:val="105"/>
                <w:sz w:val="19"/>
              </w:rPr>
              <w:t xml:space="preserve">Discrete </w:t>
            </w:r>
          </w:p>
        </w:tc>
        <w:tc>
          <w:tcPr>
            <w:tcW w:w="3864" w:type="dxa"/>
          </w:tcPr>
          <w:p w14:paraId="5048D677" w14:textId="77777777" w:rsidR="00EA5FDE" w:rsidRDefault="0066110B" w:rsidP="00EA5FDE">
            <w:pPr>
              <w:pStyle w:val="TableParagraph"/>
              <w:spacing w:line="252" w:lineRule="auto"/>
              <w:ind w:left="32" w:right="408"/>
              <w:rPr>
                <w:sz w:val="19"/>
              </w:rPr>
            </w:pPr>
            <w:r>
              <w:rPr>
                <w:sz w:val="19"/>
              </w:rPr>
              <w:t xml:space="preserve">Independent MSK R will interpret MRI. </w:t>
            </w:r>
          </w:p>
          <w:p w14:paraId="3295AABD" w14:textId="77777777" w:rsidR="00A56AD8" w:rsidRDefault="00A56AD8" w:rsidP="00EA5FDE">
            <w:pPr>
              <w:pStyle w:val="TableParagraph"/>
              <w:spacing w:line="252" w:lineRule="auto"/>
              <w:ind w:left="32" w:right="408"/>
              <w:rPr>
                <w:sz w:val="19"/>
              </w:rPr>
            </w:pPr>
            <w:r>
              <w:rPr>
                <w:sz w:val="19"/>
              </w:rPr>
              <w:t>Interrater reliability</w:t>
            </w:r>
          </w:p>
          <w:p w14:paraId="5DA523B5" w14:textId="05AA63EB" w:rsidR="00A56AD8" w:rsidRDefault="00A56AD8" w:rsidP="00EA5FDE">
            <w:pPr>
              <w:pStyle w:val="TableParagraph"/>
              <w:spacing w:line="252" w:lineRule="auto"/>
              <w:ind w:left="32" w:right="408"/>
              <w:rPr>
                <w:sz w:val="19"/>
              </w:rPr>
            </w:pPr>
            <w:proofErr w:type="spellStart"/>
            <w:r>
              <w:rPr>
                <w:sz w:val="19"/>
              </w:rPr>
              <w:t>Intrarater</w:t>
            </w:r>
            <w:proofErr w:type="spellEnd"/>
            <w:r>
              <w:rPr>
                <w:sz w:val="19"/>
              </w:rPr>
              <w:t xml:space="preserve"> reliability</w:t>
            </w:r>
          </w:p>
        </w:tc>
      </w:tr>
      <w:tr w:rsidR="0066110B" w14:paraId="6F1DBBD1" w14:textId="77777777" w:rsidTr="00C0029B">
        <w:trPr>
          <w:trHeight w:val="1253"/>
        </w:trPr>
        <w:tc>
          <w:tcPr>
            <w:tcW w:w="1795" w:type="dxa"/>
            <w:shd w:val="clear" w:color="auto" w:fill="FFF2CC" w:themeFill="accent4" w:themeFillTint="33"/>
          </w:tcPr>
          <w:p w14:paraId="7A883610" w14:textId="2EE3D543" w:rsidR="0066110B" w:rsidRDefault="0066110B" w:rsidP="0066110B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Y3 - MRA</w:t>
            </w:r>
          </w:p>
          <w:p w14:paraId="568EFB3F" w14:textId="080E1A60" w:rsidR="0066110B" w:rsidRDefault="0066110B" w:rsidP="0066110B">
            <w:pPr>
              <w:pStyle w:val="TableParagraph"/>
              <w:spacing w:before="12"/>
              <w:rPr>
                <w:b/>
                <w:sz w:val="19"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tbl>
            <w:tblPr>
              <w:tblW w:w="0" w:type="auto"/>
              <w:tblInd w:w="117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2"/>
              <w:gridCol w:w="1977"/>
            </w:tblGrid>
            <w:tr w:rsidR="0066110B" w:rsidRPr="00311968" w14:paraId="7B724D7E" w14:textId="77777777" w:rsidTr="00C37605">
              <w:trPr>
                <w:trHeight w:val="921"/>
              </w:trPr>
              <w:tc>
                <w:tcPr>
                  <w:tcW w:w="1982" w:type="dxa"/>
                </w:tcPr>
                <w:p w14:paraId="79AC4D83" w14:textId="1C0EC3E2" w:rsidR="0066110B" w:rsidRPr="00311968" w:rsidRDefault="00A56AD8" w:rsidP="0066110B">
                  <w:pPr>
                    <w:pStyle w:val="TableParagraph"/>
                    <w:spacing w:before="3" w:line="206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ERI</w:t>
                  </w:r>
                </w:p>
              </w:tc>
              <w:tc>
                <w:tcPr>
                  <w:tcW w:w="1977" w:type="dxa"/>
                </w:tcPr>
                <w:p w14:paraId="62268968" w14:textId="77777777" w:rsidR="0066110B" w:rsidRPr="00311968" w:rsidRDefault="0066110B" w:rsidP="0066110B">
                  <w:pPr>
                    <w:pStyle w:val="TableParagraph"/>
                    <w:spacing w:before="3" w:line="206" w:lineRule="exact"/>
                    <w:ind w:left="29"/>
                    <w:rPr>
                      <w:sz w:val="19"/>
                    </w:rPr>
                  </w:pPr>
                  <w:r w:rsidRPr="00311968">
                    <w:rPr>
                      <w:w w:val="105"/>
                      <w:sz w:val="19"/>
                    </w:rPr>
                    <w:t xml:space="preserve">Upload MRI  onto Weill Cornell </w:t>
                  </w:r>
                  <w:proofErr w:type="spellStart"/>
                  <w:r w:rsidRPr="00311968">
                    <w:rPr>
                      <w:w w:val="105"/>
                      <w:sz w:val="19"/>
                    </w:rPr>
                    <w:t>Ambra</w:t>
                  </w:r>
                  <w:proofErr w:type="spellEnd"/>
                </w:p>
              </w:tc>
            </w:tr>
          </w:tbl>
          <w:p w14:paraId="0EE9028D" w14:textId="7579452D" w:rsidR="0066110B" w:rsidRDefault="0066110B" w:rsidP="0066110B">
            <w:pPr>
              <w:pStyle w:val="TableParagraph"/>
              <w:spacing w:line="206" w:lineRule="exact"/>
              <w:ind w:left="0"/>
              <w:rPr>
                <w:sz w:val="19"/>
              </w:rPr>
            </w:pPr>
          </w:p>
        </w:tc>
        <w:tc>
          <w:tcPr>
            <w:tcW w:w="1977" w:type="dxa"/>
            <w:shd w:val="clear" w:color="auto" w:fill="FFF2CC" w:themeFill="accent4" w:themeFillTint="33"/>
          </w:tcPr>
          <w:tbl>
            <w:tblPr>
              <w:tblW w:w="0" w:type="auto"/>
              <w:tblInd w:w="117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2"/>
              <w:gridCol w:w="1977"/>
            </w:tblGrid>
            <w:tr w:rsidR="0066110B" w:rsidRPr="00311968" w14:paraId="1C443FBE" w14:textId="77777777" w:rsidTr="00C37605">
              <w:trPr>
                <w:trHeight w:val="921"/>
              </w:trPr>
              <w:tc>
                <w:tcPr>
                  <w:tcW w:w="1982" w:type="dxa"/>
                </w:tcPr>
                <w:p w14:paraId="744B9490" w14:textId="1850A24D" w:rsidR="0066110B" w:rsidRPr="00311968" w:rsidRDefault="0066110B" w:rsidP="0066110B">
                  <w:pPr>
                    <w:pStyle w:val="TableParagraph"/>
                    <w:spacing w:before="3" w:line="206" w:lineRule="exac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 xml:space="preserve">Upload MRA  onto Weill Cornell </w:t>
                  </w:r>
                  <w:proofErr w:type="spellStart"/>
                  <w:r>
                    <w:rPr>
                      <w:w w:val="105"/>
                      <w:sz w:val="19"/>
                    </w:rPr>
                    <w:t>Ambra</w:t>
                  </w:r>
                  <w:proofErr w:type="spellEnd"/>
                </w:p>
              </w:tc>
              <w:tc>
                <w:tcPr>
                  <w:tcW w:w="1977" w:type="dxa"/>
                </w:tcPr>
                <w:p w14:paraId="128F3DD8" w14:textId="77777777" w:rsidR="0066110B" w:rsidRPr="00311968" w:rsidRDefault="0066110B" w:rsidP="0066110B">
                  <w:pPr>
                    <w:pStyle w:val="TableParagraph"/>
                    <w:spacing w:before="3" w:line="206" w:lineRule="exact"/>
                    <w:ind w:left="29"/>
                    <w:rPr>
                      <w:sz w:val="19"/>
                    </w:rPr>
                  </w:pPr>
                  <w:r w:rsidRPr="00311968">
                    <w:rPr>
                      <w:w w:val="105"/>
                      <w:sz w:val="19"/>
                    </w:rPr>
                    <w:t xml:space="preserve">Upload MRI  onto Weill Cornell </w:t>
                  </w:r>
                  <w:proofErr w:type="spellStart"/>
                  <w:r w:rsidRPr="00311968">
                    <w:rPr>
                      <w:w w:val="105"/>
                      <w:sz w:val="19"/>
                    </w:rPr>
                    <w:t>Ambra</w:t>
                  </w:r>
                  <w:proofErr w:type="spellEnd"/>
                </w:p>
              </w:tc>
            </w:tr>
          </w:tbl>
          <w:p w14:paraId="374A6433" w14:textId="6B13DE7F" w:rsidR="0066110B" w:rsidRDefault="0066110B" w:rsidP="0066110B">
            <w:pPr>
              <w:pStyle w:val="TableParagraph"/>
              <w:spacing w:line="206" w:lineRule="exact"/>
              <w:ind w:left="29"/>
              <w:rPr>
                <w:sz w:val="19"/>
              </w:rPr>
            </w:pPr>
          </w:p>
        </w:tc>
        <w:tc>
          <w:tcPr>
            <w:tcW w:w="2159" w:type="dxa"/>
            <w:shd w:val="clear" w:color="auto" w:fill="FFF2CC" w:themeFill="accent4" w:themeFillTint="33"/>
          </w:tcPr>
          <w:p w14:paraId="3BF2B765" w14:textId="088A4C76" w:rsidR="0066110B" w:rsidRDefault="0066110B" w:rsidP="0066110B">
            <w:pPr>
              <w:pStyle w:val="TableParagraph"/>
              <w:spacing w:line="252" w:lineRule="auto"/>
              <w:ind w:left="29" w:right="222"/>
              <w:rPr>
                <w:sz w:val="19"/>
              </w:rPr>
            </w:pPr>
            <w:r>
              <w:rPr>
                <w:w w:val="105"/>
                <w:sz w:val="19"/>
              </w:rPr>
              <w:t xml:space="preserve">One time 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14:paraId="4AAC1BFD" w14:textId="7E074BC8" w:rsidR="0066110B" w:rsidRDefault="0066110B" w:rsidP="0066110B">
            <w:pPr>
              <w:pStyle w:val="TableParagraph"/>
              <w:spacing w:before="3" w:line="206" w:lineRule="exact"/>
              <w:ind w:left="30"/>
              <w:rPr>
                <w:sz w:val="19"/>
              </w:rPr>
            </w:pPr>
            <w:r>
              <w:rPr>
                <w:sz w:val="19"/>
              </w:rPr>
              <w:t>HCP</w:t>
            </w:r>
          </w:p>
          <w:p w14:paraId="47BA86D6" w14:textId="77777777" w:rsidR="0066110B" w:rsidRDefault="0066110B" w:rsidP="0066110B">
            <w:pPr>
              <w:pStyle w:val="TableParagraph"/>
              <w:spacing w:before="3" w:line="206" w:lineRule="exact"/>
              <w:ind w:left="30"/>
              <w:rPr>
                <w:sz w:val="19"/>
              </w:rPr>
            </w:pPr>
            <w:r>
              <w:rPr>
                <w:sz w:val="19"/>
              </w:rPr>
              <w:t>HS</w:t>
            </w:r>
          </w:p>
          <w:p w14:paraId="59D395FC" w14:textId="5BEAEB5E" w:rsidR="0066110B" w:rsidRDefault="00A56AD8" w:rsidP="0066110B">
            <w:pPr>
              <w:pStyle w:val="TableParagraph"/>
              <w:spacing w:before="3" w:line="206" w:lineRule="exact"/>
              <w:ind w:left="30"/>
              <w:rPr>
                <w:sz w:val="19"/>
              </w:rPr>
            </w:pPr>
            <w:r>
              <w:rPr>
                <w:caps/>
                <w:sz w:val="19"/>
              </w:rPr>
              <w:t>RA</w:t>
            </w:r>
            <w:r w:rsidR="0066110B">
              <w:rPr>
                <w:sz w:val="19"/>
              </w:rPr>
              <w:t xml:space="preserve"> (upload imaging onto </w:t>
            </w:r>
            <w:proofErr w:type="spellStart"/>
            <w:r w:rsidR="0066110B">
              <w:rPr>
                <w:sz w:val="19"/>
              </w:rPr>
              <w:t>Ambra</w:t>
            </w:r>
            <w:proofErr w:type="spellEnd"/>
            <w:r w:rsidR="0066110B">
              <w:rPr>
                <w:sz w:val="19"/>
              </w:rPr>
              <w:t>)</w:t>
            </w:r>
          </w:p>
          <w:p w14:paraId="63E8360A" w14:textId="6A91739C" w:rsidR="0066110B" w:rsidRDefault="0066110B" w:rsidP="0066110B">
            <w:pPr>
              <w:pStyle w:val="TableParagraph"/>
              <w:spacing w:line="206" w:lineRule="exact"/>
              <w:ind w:left="30"/>
              <w:rPr>
                <w:sz w:val="19"/>
              </w:rPr>
            </w:pPr>
            <w:r>
              <w:rPr>
                <w:sz w:val="19"/>
              </w:rPr>
              <w:t>Two Musculoskeletal radiologists (MSK R) will interpret MRA</w:t>
            </w:r>
          </w:p>
        </w:tc>
        <w:tc>
          <w:tcPr>
            <w:tcW w:w="988" w:type="dxa"/>
            <w:shd w:val="clear" w:color="auto" w:fill="FFF2CC" w:themeFill="accent4" w:themeFillTint="33"/>
          </w:tcPr>
          <w:p w14:paraId="5E6DFE70" w14:textId="77777777" w:rsidR="0066110B" w:rsidRDefault="0066110B" w:rsidP="0066110B">
            <w:pPr>
              <w:pStyle w:val="TableParagraph"/>
              <w:ind w:left="3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REDCap</w:t>
            </w:r>
            <w:proofErr w:type="spellEnd"/>
          </w:p>
        </w:tc>
        <w:tc>
          <w:tcPr>
            <w:tcW w:w="1622" w:type="dxa"/>
            <w:shd w:val="clear" w:color="auto" w:fill="FFF2CC" w:themeFill="accent4" w:themeFillTint="33"/>
          </w:tcPr>
          <w:p w14:paraId="3CC7029A" w14:textId="42FE5AE0" w:rsidR="0066110B" w:rsidRDefault="0066110B" w:rsidP="0066110B">
            <w:pPr>
              <w:pStyle w:val="TableParagraph"/>
              <w:ind w:left="32"/>
              <w:rPr>
                <w:sz w:val="19"/>
              </w:rPr>
            </w:pPr>
            <w:r w:rsidRPr="00860CA0">
              <w:rPr>
                <w:w w:val="105"/>
                <w:sz w:val="19"/>
              </w:rPr>
              <w:t xml:space="preserve">Discrete </w:t>
            </w:r>
          </w:p>
        </w:tc>
        <w:tc>
          <w:tcPr>
            <w:tcW w:w="3864" w:type="dxa"/>
            <w:shd w:val="clear" w:color="auto" w:fill="FFF2CC" w:themeFill="accent4" w:themeFillTint="33"/>
          </w:tcPr>
          <w:p w14:paraId="1A5F7E91" w14:textId="77777777" w:rsidR="0066110B" w:rsidRDefault="0066110B" w:rsidP="0066110B">
            <w:pPr>
              <w:pStyle w:val="TableParagraph"/>
              <w:spacing w:line="252" w:lineRule="auto"/>
              <w:ind w:left="32" w:right="408"/>
              <w:rPr>
                <w:sz w:val="19"/>
              </w:rPr>
            </w:pPr>
            <w:r>
              <w:rPr>
                <w:sz w:val="19"/>
              </w:rPr>
              <w:t>Independent MSK R will interpret MRA</w:t>
            </w:r>
          </w:p>
          <w:p w14:paraId="35E4D456" w14:textId="77777777" w:rsidR="00A56AD8" w:rsidRDefault="00A56AD8" w:rsidP="0066110B">
            <w:pPr>
              <w:pStyle w:val="TableParagraph"/>
              <w:spacing w:line="252" w:lineRule="auto"/>
              <w:ind w:left="32" w:right="408"/>
              <w:rPr>
                <w:sz w:val="19"/>
              </w:rPr>
            </w:pPr>
            <w:r>
              <w:rPr>
                <w:sz w:val="19"/>
              </w:rPr>
              <w:t>Interrater reliability</w:t>
            </w:r>
          </w:p>
          <w:p w14:paraId="39BBA7B6" w14:textId="37AB4776" w:rsidR="00A56AD8" w:rsidRDefault="00A56AD8" w:rsidP="0066110B">
            <w:pPr>
              <w:pStyle w:val="TableParagraph"/>
              <w:spacing w:line="252" w:lineRule="auto"/>
              <w:ind w:left="32" w:right="408"/>
              <w:rPr>
                <w:sz w:val="19"/>
              </w:rPr>
            </w:pPr>
            <w:proofErr w:type="spellStart"/>
            <w:r>
              <w:rPr>
                <w:sz w:val="19"/>
              </w:rPr>
              <w:t>Intrarater</w:t>
            </w:r>
            <w:proofErr w:type="spellEnd"/>
            <w:r>
              <w:rPr>
                <w:sz w:val="19"/>
              </w:rPr>
              <w:t xml:space="preserve"> reliability</w:t>
            </w:r>
          </w:p>
        </w:tc>
      </w:tr>
      <w:tr w:rsidR="0066110B" w14:paraId="72ACBC1D" w14:textId="77777777" w:rsidTr="00C0029B">
        <w:trPr>
          <w:trHeight w:val="1073"/>
        </w:trPr>
        <w:tc>
          <w:tcPr>
            <w:tcW w:w="1795" w:type="dxa"/>
          </w:tcPr>
          <w:p w14:paraId="3CF0123A" w14:textId="77777777" w:rsidR="0066110B" w:rsidRDefault="0066110B" w:rsidP="0066110B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X2 - Age</w:t>
            </w:r>
          </w:p>
        </w:tc>
        <w:tc>
          <w:tcPr>
            <w:tcW w:w="1982" w:type="dxa"/>
          </w:tcPr>
          <w:p w14:paraId="60F821CC" w14:textId="77777777" w:rsidR="0066110B" w:rsidRDefault="0066110B" w:rsidP="0066110B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Patient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chart</w:t>
            </w:r>
          </w:p>
        </w:tc>
        <w:tc>
          <w:tcPr>
            <w:tcW w:w="1977" w:type="dxa"/>
          </w:tcPr>
          <w:p w14:paraId="2A356A13" w14:textId="77777777" w:rsidR="0066110B" w:rsidRDefault="0066110B" w:rsidP="0066110B">
            <w:pPr>
              <w:pStyle w:val="TableParagraph"/>
              <w:spacing w:line="252" w:lineRule="auto"/>
              <w:ind w:left="29" w:right="543"/>
              <w:rPr>
                <w:sz w:val="19"/>
              </w:rPr>
            </w:pPr>
            <w:r>
              <w:rPr>
                <w:w w:val="105"/>
                <w:sz w:val="19"/>
              </w:rPr>
              <w:t>Electronic chart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abstraction</w:t>
            </w:r>
          </w:p>
        </w:tc>
        <w:tc>
          <w:tcPr>
            <w:tcW w:w="2159" w:type="dxa"/>
          </w:tcPr>
          <w:p w14:paraId="5E332202" w14:textId="77777777" w:rsidR="0066110B" w:rsidRDefault="0066110B" w:rsidP="0066110B"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Once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after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enrollment</w:t>
            </w:r>
          </w:p>
        </w:tc>
        <w:tc>
          <w:tcPr>
            <w:tcW w:w="2879" w:type="dxa"/>
          </w:tcPr>
          <w:p w14:paraId="6AAC8F06" w14:textId="38689C21" w:rsidR="0066110B" w:rsidRDefault="0066110B" w:rsidP="0066110B">
            <w:pPr>
              <w:pStyle w:val="TableParagraph"/>
              <w:ind w:left="30"/>
              <w:rPr>
                <w:sz w:val="19"/>
              </w:rPr>
            </w:pPr>
            <w:r>
              <w:rPr>
                <w:w w:val="105"/>
                <w:sz w:val="19"/>
              </w:rPr>
              <w:t>Office staff</w:t>
            </w:r>
          </w:p>
        </w:tc>
        <w:tc>
          <w:tcPr>
            <w:tcW w:w="988" w:type="dxa"/>
          </w:tcPr>
          <w:p w14:paraId="78F7D362" w14:textId="77777777" w:rsidR="0066110B" w:rsidRDefault="0066110B" w:rsidP="0066110B">
            <w:pPr>
              <w:pStyle w:val="TableParagraph"/>
              <w:ind w:left="3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REDCap</w:t>
            </w:r>
            <w:proofErr w:type="spellEnd"/>
          </w:p>
        </w:tc>
        <w:tc>
          <w:tcPr>
            <w:tcW w:w="1622" w:type="dxa"/>
          </w:tcPr>
          <w:p w14:paraId="5675609E" w14:textId="4AC01E9A" w:rsidR="0066110B" w:rsidRDefault="0066110B" w:rsidP="0066110B">
            <w:pPr>
              <w:pStyle w:val="TableParagraph"/>
              <w:ind w:left="32"/>
              <w:rPr>
                <w:sz w:val="19"/>
              </w:rPr>
            </w:pPr>
            <w:r w:rsidRPr="00860CA0">
              <w:rPr>
                <w:w w:val="105"/>
                <w:sz w:val="19"/>
              </w:rPr>
              <w:t xml:space="preserve">Discrete </w:t>
            </w:r>
          </w:p>
        </w:tc>
        <w:tc>
          <w:tcPr>
            <w:tcW w:w="3864" w:type="dxa"/>
          </w:tcPr>
          <w:p w14:paraId="70087DB7" w14:textId="079543CA" w:rsidR="0066110B" w:rsidRDefault="0066110B" w:rsidP="0066110B">
            <w:pPr>
              <w:pStyle w:val="TableParagraph"/>
              <w:spacing w:line="252" w:lineRule="auto"/>
              <w:ind w:left="32" w:right="219"/>
              <w:rPr>
                <w:sz w:val="19"/>
              </w:rPr>
            </w:pPr>
            <w:bookmarkStart w:id="0" w:name="_Hlk69045127"/>
            <w:r>
              <w:rPr>
                <w:w w:val="105"/>
                <w:sz w:val="19"/>
              </w:rPr>
              <w:t xml:space="preserve">Data will be reviewed by </w:t>
            </w:r>
            <w:r w:rsidR="00A56AD8">
              <w:rPr>
                <w:w w:val="105"/>
                <w:sz w:val="19"/>
              </w:rPr>
              <w:t>RA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 asse</w:t>
            </w:r>
            <w:r w:rsidR="00A56AD8">
              <w:rPr>
                <w:w w:val="105"/>
                <w:sz w:val="19"/>
              </w:rPr>
              <w:t>ss age as predictor with regression analysis</w:t>
            </w:r>
            <w:bookmarkEnd w:id="0"/>
            <w:r w:rsidR="00A56AD8">
              <w:rPr>
                <w:w w:val="105"/>
                <w:sz w:val="19"/>
              </w:rPr>
              <w:t xml:space="preserve">. </w:t>
            </w:r>
          </w:p>
          <w:p w14:paraId="10CBBA0A" w14:textId="708CD4CE" w:rsidR="0066110B" w:rsidRDefault="0066110B" w:rsidP="0066110B">
            <w:pPr>
              <w:pStyle w:val="TableParagraph"/>
              <w:spacing w:before="3" w:line="206" w:lineRule="exact"/>
              <w:ind w:left="32"/>
              <w:rPr>
                <w:sz w:val="19"/>
              </w:rPr>
            </w:pPr>
          </w:p>
        </w:tc>
      </w:tr>
      <w:tr w:rsidR="0066110B" w14:paraId="7C5C892A" w14:textId="77777777" w:rsidTr="00A56AD8">
        <w:trPr>
          <w:trHeight w:val="740"/>
        </w:trPr>
        <w:tc>
          <w:tcPr>
            <w:tcW w:w="1795" w:type="dxa"/>
            <w:shd w:val="clear" w:color="auto" w:fill="FFF2CC" w:themeFill="accent4" w:themeFillTint="33"/>
          </w:tcPr>
          <w:p w14:paraId="67B9A45C" w14:textId="77777777" w:rsidR="0066110B" w:rsidRDefault="0066110B" w:rsidP="0066110B">
            <w:pPr>
              <w:pStyle w:val="TableParagraph"/>
              <w:rPr>
                <w:b/>
                <w:sz w:val="19"/>
              </w:rPr>
            </w:pPr>
            <w:bookmarkStart w:id="1" w:name="_Hlk69045229"/>
            <w:r>
              <w:rPr>
                <w:b/>
                <w:w w:val="105"/>
                <w:sz w:val="19"/>
              </w:rPr>
              <w:lastRenderedPageBreak/>
              <w:t>X3 –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Sex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7E35921" w14:textId="77777777" w:rsidR="0066110B" w:rsidRDefault="0066110B" w:rsidP="0066110B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Patient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chart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47DF1C8E" w14:textId="77777777" w:rsidR="0066110B" w:rsidRDefault="0066110B" w:rsidP="0066110B"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Electronic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chart</w:t>
            </w:r>
          </w:p>
          <w:p w14:paraId="55575E0F" w14:textId="77777777" w:rsidR="0066110B" w:rsidRDefault="0066110B" w:rsidP="0066110B">
            <w:pPr>
              <w:pStyle w:val="TableParagraph"/>
              <w:spacing w:before="12" w:line="206" w:lineRule="exact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abstraction</w:t>
            </w:r>
          </w:p>
        </w:tc>
        <w:tc>
          <w:tcPr>
            <w:tcW w:w="2159" w:type="dxa"/>
            <w:shd w:val="clear" w:color="auto" w:fill="FFF2CC" w:themeFill="accent4" w:themeFillTint="33"/>
          </w:tcPr>
          <w:p w14:paraId="13C04390" w14:textId="77777777" w:rsidR="0066110B" w:rsidRDefault="0066110B" w:rsidP="0066110B"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Once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after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enrollment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14:paraId="51ECA42F" w14:textId="20AA453B" w:rsidR="0066110B" w:rsidRDefault="00A56AD8" w:rsidP="0066110B">
            <w:pPr>
              <w:pStyle w:val="TableParagraph"/>
              <w:ind w:left="3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 w:rsidR="0066110B">
              <w:rPr>
                <w:w w:val="105"/>
                <w:sz w:val="19"/>
              </w:rPr>
              <w:t>ffice staff</w:t>
            </w:r>
          </w:p>
        </w:tc>
        <w:tc>
          <w:tcPr>
            <w:tcW w:w="988" w:type="dxa"/>
            <w:shd w:val="clear" w:color="auto" w:fill="FFF2CC" w:themeFill="accent4" w:themeFillTint="33"/>
          </w:tcPr>
          <w:p w14:paraId="7E6373BD" w14:textId="77777777" w:rsidR="0066110B" w:rsidRDefault="0066110B" w:rsidP="0066110B">
            <w:pPr>
              <w:pStyle w:val="TableParagraph"/>
              <w:ind w:left="3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REDCap</w:t>
            </w:r>
            <w:proofErr w:type="spellEnd"/>
          </w:p>
        </w:tc>
        <w:tc>
          <w:tcPr>
            <w:tcW w:w="1622" w:type="dxa"/>
            <w:shd w:val="clear" w:color="auto" w:fill="FFF2CC" w:themeFill="accent4" w:themeFillTint="33"/>
          </w:tcPr>
          <w:p w14:paraId="485C239A" w14:textId="352A1A47" w:rsidR="0066110B" w:rsidRDefault="0066110B" w:rsidP="0066110B">
            <w:pPr>
              <w:pStyle w:val="TableParagraph"/>
              <w:ind w:left="32"/>
              <w:rPr>
                <w:sz w:val="19"/>
              </w:rPr>
            </w:pPr>
            <w:r w:rsidRPr="00860CA0">
              <w:rPr>
                <w:w w:val="105"/>
                <w:sz w:val="19"/>
              </w:rPr>
              <w:t xml:space="preserve">Discrete </w:t>
            </w:r>
          </w:p>
        </w:tc>
        <w:tc>
          <w:tcPr>
            <w:tcW w:w="3864" w:type="dxa"/>
            <w:shd w:val="clear" w:color="auto" w:fill="FFF2CC" w:themeFill="accent4" w:themeFillTint="33"/>
          </w:tcPr>
          <w:p w14:paraId="41E4AA0D" w14:textId="1621DB74" w:rsidR="0066110B" w:rsidRDefault="00A56AD8" w:rsidP="0066110B">
            <w:pPr>
              <w:pStyle w:val="TableParagraph"/>
              <w:spacing w:before="12" w:line="206" w:lineRule="exact"/>
              <w:ind w:left="32"/>
              <w:rPr>
                <w:sz w:val="19"/>
              </w:rPr>
            </w:pPr>
            <w:r>
              <w:rPr>
                <w:w w:val="105"/>
                <w:sz w:val="19"/>
              </w:rPr>
              <w:t>Data will be reviewed by RA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 assess sex as predictor with regression analysis</w:t>
            </w:r>
          </w:p>
        </w:tc>
      </w:tr>
      <w:bookmarkEnd w:id="1"/>
      <w:tr w:rsidR="00A56AD8" w14:paraId="145681F2" w14:textId="77777777" w:rsidTr="00C0029B">
        <w:trPr>
          <w:trHeight w:val="983"/>
        </w:trPr>
        <w:tc>
          <w:tcPr>
            <w:tcW w:w="1795" w:type="dxa"/>
            <w:shd w:val="clear" w:color="auto" w:fill="FFFFFF" w:themeFill="background1"/>
          </w:tcPr>
          <w:p w14:paraId="04F4027C" w14:textId="780E08EC" w:rsidR="00A56AD8" w:rsidRDefault="00A56AD8" w:rsidP="00A56AD8">
            <w:pPr>
              <w:pStyle w:val="TableParagraph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X4 –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BMI</w:t>
            </w:r>
          </w:p>
        </w:tc>
        <w:tc>
          <w:tcPr>
            <w:tcW w:w="1982" w:type="dxa"/>
            <w:shd w:val="clear" w:color="auto" w:fill="FFFFFF" w:themeFill="background1"/>
          </w:tcPr>
          <w:p w14:paraId="20101196" w14:textId="5D44B924" w:rsidR="00A56AD8" w:rsidRDefault="00A56AD8" w:rsidP="00A56AD8">
            <w:pPr>
              <w:pStyle w:val="TableParagraph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Patient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chart</w:t>
            </w:r>
          </w:p>
        </w:tc>
        <w:tc>
          <w:tcPr>
            <w:tcW w:w="1977" w:type="dxa"/>
            <w:shd w:val="clear" w:color="auto" w:fill="FFFFFF" w:themeFill="background1"/>
          </w:tcPr>
          <w:p w14:paraId="307F8DB2" w14:textId="77777777" w:rsidR="00A56AD8" w:rsidRDefault="00A56AD8" w:rsidP="00A56AD8"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Electronic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chart</w:t>
            </w:r>
          </w:p>
          <w:p w14:paraId="237F665C" w14:textId="286BA38E" w:rsidR="00A56AD8" w:rsidRDefault="00A56AD8" w:rsidP="00A56AD8">
            <w:pPr>
              <w:pStyle w:val="TableParagraph"/>
              <w:ind w:left="2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abstraction</w:t>
            </w:r>
          </w:p>
        </w:tc>
        <w:tc>
          <w:tcPr>
            <w:tcW w:w="2159" w:type="dxa"/>
            <w:shd w:val="clear" w:color="auto" w:fill="FFFFFF" w:themeFill="background1"/>
          </w:tcPr>
          <w:p w14:paraId="69869A1B" w14:textId="446E59C6" w:rsidR="00A56AD8" w:rsidRDefault="00A56AD8" w:rsidP="00A56AD8">
            <w:pPr>
              <w:pStyle w:val="TableParagraph"/>
              <w:ind w:left="2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Once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after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enrollment</w:t>
            </w:r>
          </w:p>
        </w:tc>
        <w:tc>
          <w:tcPr>
            <w:tcW w:w="2879" w:type="dxa"/>
            <w:shd w:val="clear" w:color="auto" w:fill="FFFFFF" w:themeFill="background1"/>
          </w:tcPr>
          <w:p w14:paraId="6BD2F0F9" w14:textId="5876DCF1" w:rsidR="00A56AD8" w:rsidRDefault="00A56AD8" w:rsidP="00A56AD8">
            <w:pPr>
              <w:pStyle w:val="TableParagraph"/>
              <w:ind w:left="3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Office staff</w:t>
            </w:r>
          </w:p>
        </w:tc>
        <w:tc>
          <w:tcPr>
            <w:tcW w:w="988" w:type="dxa"/>
            <w:shd w:val="clear" w:color="auto" w:fill="FFFFFF" w:themeFill="background1"/>
          </w:tcPr>
          <w:p w14:paraId="16736144" w14:textId="6306E57C" w:rsidR="00A56AD8" w:rsidRDefault="00A56AD8" w:rsidP="00A56AD8">
            <w:pPr>
              <w:pStyle w:val="TableParagraph"/>
              <w:ind w:left="31"/>
              <w:rPr>
                <w:w w:val="105"/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REDCap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14:paraId="63673B41" w14:textId="1A9EC162" w:rsidR="00A56AD8" w:rsidRPr="00860CA0" w:rsidRDefault="00A56AD8" w:rsidP="00A56AD8">
            <w:pPr>
              <w:pStyle w:val="TableParagraph"/>
              <w:ind w:left="32"/>
              <w:rPr>
                <w:w w:val="105"/>
                <w:sz w:val="19"/>
              </w:rPr>
            </w:pPr>
            <w:r w:rsidRPr="00860CA0">
              <w:rPr>
                <w:w w:val="105"/>
                <w:sz w:val="19"/>
              </w:rPr>
              <w:t xml:space="preserve">Discrete </w:t>
            </w:r>
          </w:p>
        </w:tc>
        <w:tc>
          <w:tcPr>
            <w:tcW w:w="3864" w:type="dxa"/>
            <w:shd w:val="clear" w:color="auto" w:fill="FFFFFF" w:themeFill="background1"/>
          </w:tcPr>
          <w:p w14:paraId="0A590662" w14:textId="576D7F54" w:rsidR="00A56AD8" w:rsidRDefault="00A56AD8" w:rsidP="00A56AD8">
            <w:pPr>
              <w:pStyle w:val="TableParagraph"/>
              <w:spacing w:before="12" w:line="206" w:lineRule="exact"/>
              <w:ind w:left="32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Data will be reviewed by RA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 assess sex as predictor with regression analysis</w:t>
            </w:r>
          </w:p>
        </w:tc>
      </w:tr>
    </w:tbl>
    <w:p w14:paraId="0507054D" w14:textId="77777777" w:rsidR="00662D1A" w:rsidRDefault="00662D1A" w:rsidP="00662D1A">
      <w:pPr>
        <w:spacing w:line="206" w:lineRule="exact"/>
        <w:rPr>
          <w:sz w:val="19"/>
        </w:rPr>
        <w:sectPr w:rsidR="00662D1A">
          <w:pgSz w:w="20160" w:h="12240" w:orient="landscape"/>
          <w:pgMar w:top="1140" w:right="1320" w:bottom="280" w:left="1340" w:header="720" w:footer="720" w:gutter="0"/>
          <w:cols w:space="720"/>
        </w:sectPr>
      </w:pPr>
    </w:p>
    <w:p w14:paraId="03DE657F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AD2AF4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B31FCB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04CDA73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B5006F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3D23778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62C3CC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AFD0842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C58378" w14:textId="77777777" w:rsidR="00C0029B" w:rsidRDefault="00C0029B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0FEC13" w14:textId="48329D33" w:rsidR="0043244E" w:rsidRPr="00762280" w:rsidRDefault="0076668E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>Reference</w:t>
      </w:r>
    </w:p>
    <w:p w14:paraId="2AF39EE0" w14:textId="3C06943C" w:rsidR="0076668E" w:rsidRPr="00762280" w:rsidRDefault="0076668E" w:rsidP="00762280">
      <w:pPr>
        <w:pStyle w:val="ListParagraph"/>
        <w:numPr>
          <w:ilvl w:val="0"/>
          <w:numId w:val="7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Wang VM et al.  Machine learning Applications in Orthopedic Imaging. </w:t>
      </w:r>
      <w:r w:rsidRPr="00762280">
        <w:rPr>
          <w:rFonts w:ascii="Arial" w:eastAsia="Times New Roman" w:hAnsi="Arial" w:cs="Arial"/>
          <w:i/>
          <w:iCs/>
          <w:color w:val="000000"/>
          <w:sz w:val="24"/>
          <w:szCs w:val="24"/>
        </w:rPr>
        <w:t>JAAOS,</w:t>
      </w:r>
      <w:r w:rsidRPr="00762280">
        <w:rPr>
          <w:rFonts w:ascii="Arial" w:eastAsia="Times New Roman" w:hAnsi="Arial" w:cs="Arial"/>
          <w:color w:val="000000"/>
          <w:sz w:val="24"/>
          <w:szCs w:val="24"/>
        </w:rPr>
        <w:t xml:space="preserve"> May 2020, Vol 28, e415</w:t>
      </w:r>
      <w:r w:rsidR="00804565" w:rsidRPr="0076228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2BD74F1" w14:textId="77777777" w:rsidR="00804565" w:rsidRPr="00762280" w:rsidRDefault="00804565" w:rsidP="0043244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B95D49" w14:textId="59FD3071" w:rsidR="007D0515" w:rsidRPr="00762280" w:rsidRDefault="00D8676F">
      <w:pPr>
        <w:rPr>
          <w:rFonts w:ascii="Arial" w:hAnsi="Arial" w:cs="Arial"/>
          <w:sz w:val="24"/>
          <w:szCs w:val="24"/>
        </w:rPr>
      </w:pPr>
    </w:p>
    <w:p w14:paraId="613853A3" w14:textId="48ED8655" w:rsidR="0076668E" w:rsidRPr="00762280" w:rsidRDefault="0076668E">
      <w:pPr>
        <w:rPr>
          <w:rFonts w:ascii="Arial" w:hAnsi="Arial" w:cs="Arial"/>
          <w:sz w:val="24"/>
          <w:szCs w:val="24"/>
        </w:rPr>
      </w:pPr>
    </w:p>
    <w:p w14:paraId="5B4736DB" w14:textId="56105071" w:rsidR="0076668E" w:rsidRPr="00762280" w:rsidRDefault="0076668E">
      <w:pPr>
        <w:rPr>
          <w:rFonts w:ascii="Arial" w:hAnsi="Arial" w:cs="Arial"/>
          <w:sz w:val="24"/>
          <w:szCs w:val="24"/>
        </w:rPr>
      </w:pPr>
    </w:p>
    <w:p w14:paraId="3AEDCDA7" w14:textId="460682E8" w:rsidR="0076668E" w:rsidRDefault="0076668E"/>
    <w:sectPr w:rsidR="0076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47206"/>
    <w:multiLevelType w:val="hybridMultilevel"/>
    <w:tmpl w:val="022CA58E"/>
    <w:lvl w:ilvl="0" w:tplc="2E446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6E3C"/>
    <w:multiLevelType w:val="hybridMultilevel"/>
    <w:tmpl w:val="454AAE74"/>
    <w:lvl w:ilvl="0" w:tplc="04090011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4A2D71"/>
    <w:multiLevelType w:val="hybridMultilevel"/>
    <w:tmpl w:val="F2F0A6E8"/>
    <w:lvl w:ilvl="0" w:tplc="386CF64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D61A3"/>
    <w:multiLevelType w:val="hybridMultilevel"/>
    <w:tmpl w:val="F0D0F1A2"/>
    <w:lvl w:ilvl="0" w:tplc="A478F80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86CC1"/>
    <w:multiLevelType w:val="hybridMultilevel"/>
    <w:tmpl w:val="1D40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457C4"/>
    <w:multiLevelType w:val="multilevel"/>
    <w:tmpl w:val="A1E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A5DA6"/>
    <w:multiLevelType w:val="hybridMultilevel"/>
    <w:tmpl w:val="E2849856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5AD97D2A"/>
    <w:multiLevelType w:val="hybridMultilevel"/>
    <w:tmpl w:val="1158A68C"/>
    <w:lvl w:ilvl="0" w:tplc="04090019">
      <w:start w:val="1"/>
      <w:numFmt w:val="low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8" w15:restartNumberingAfterBreak="0">
    <w:nsid w:val="64F853F0"/>
    <w:multiLevelType w:val="hybridMultilevel"/>
    <w:tmpl w:val="A9EA0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8803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E53A1"/>
    <w:multiLevelType w:val="hybridMultilevel"/>
    <w:tmpl w:val="37A2BF0A"/>
    <w:lvl w:ilvl="0" w:tplc="6504C8B2">
      <w:start w:val="1"/>
      <w:numFmt w:val="decimal"/>
      <w:lvlText w:val="%1."/>
      <w:lvlJc w:val="left"/>
      <w:pPr>
        <w:ind w:left="684" w:hanging="58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F3FEDC6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A46429C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CBDC68D4">
      <w:numFmt w:val="bullet"/>
      <w:lvlText w:val="•"/>
      <w:lvlJc w:val="left"/>
      <w:pPr>
        <w:ind w:left="2485" w:hanging="360"/>
      </w:pPr>
      <w:rPr>
        <w:rFonts w:hint="default"/>
      </w:rPr>
    </w:lvl>
    <w:lvl w:ilvl="4" w:tplc="FCAA997C"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BC361D3A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9880CE92"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6BCA8E18"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A5648BC6"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10" w15:restartNumberingAfterBreak="0">
    <w:nsid w:val="6BC071FF"/>
    <w:multiLevelType w:val="hybridMultilevel"/>
    <w:tmpl w:val="21A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MTExNTQ1NzEzNTNW0lEKTi0uzszPAykwrwUAd8DD7ywAAAA="/>
  </w:docVars>
  <w:rsids>
    <w:rsidRoot w:val="0043244E"/>
    <w:rsid w:val="000302DA"/>
    <w:rsid w:val="0003455B"/>
    <w:rsid w:val="00064E06"/>
    <w:rsid w:val="00075510"/>
    <w:rsid w:val="001467E0"/>
    <w:rsid w:val="00156491"/>
    <w:rsid w:val="001C6135"/>
    <w:rsid w:val="00212B8B"/>
    <w:rsid w:val="00235CF2"/>
    <w:rsid w:val="00281399"/>
    <w:rsid w:val="002D638E"/>
    <w:rsid w:val="00307B5D"/>
    <w:rsid w:val="003233A9"/>
    <w:rsid w:val="003B14A5"/>
    <w:rsid w:val="0042479E"/>
    <w:rsid w:val="0043244E"/>
    <w:rsid w:val="0043529B"/>
    <w:rsid w:val="0044445E"/>
    <w:rsid w:val="00447710"/>
    <w:rsid w:val="005B787A"/>
    <w:rsid w:val="005E26DD"/>
    <w:rsid w:val="005F443D"/>
    <w:rsid w:val="0066110B"/>
    <w:rsid w:val="00662D1A"/>
    <w:rsid w:val="00731AD0"/>
    <w:rsid w:val="00744AF9"/>
    <w:rsid w:val="00762280"/>
    <w:rsid w:val="0076668E"/>
    <w:rsid w:val="00804565"/>
    <w:rsid w:val="00831FA6"/>
    <w:rsid w:val="00837952"/>
    <w:rsid w:val="008C5F2E"/>
    <w:rsid w:val="008F3D19"/>
    <w:rsid w:val="00924D61"/>
    <w:rsid w:val="00A21F48"/>
    <w:rsid w:val="00A3653F"/>
    <w:rsid w:val="00A56AD8"/>
    <w:rsid w:val="00A571F1"/>
    <w:rsid w:val="00A57E53"/>
    <w:rsid w:val="00A65D42"/>
    <w:rsid w:val="00AD1E6F"/>
    <w:rsid w:val="00C0029B"/>
    <w:rsid w:val="00C27A04"/>
    <w:rsid w:val="00C41E48"/>
    <w:rsid w:val="00CC3E00"/>
    <w:rsid w:val="00D43544"/>
    <w:rsid w:val="00D8676F"/>
    <w:rsid w:val="00E10486"/>
    <w:rsid w:val="00E143F5"/>
    <w:rsid w:val="00E56215"/>
    <w:rsid w:val="00E56AC6"/>
    <w:rsid w:val="00E64D89"/>
    <w:rsid w:val="00EA5FDE"/>
    <w:rsid w:val="00EB289A"/>
    <w:rsid w:val="00EF4AAF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F59F"/>
  <w15:chartTrackingRefBased/>
  <w15:docId w15:val="{A137A2E0-0459-4CBA-BFB7-5548280C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2D1A"/>
    <w:pPr>
      <w:widowControl w:val="0"/>
      <w:autoSpaceDE w:val="0"/>
      <w:autoSpaceDN w:val="0"/>
      <w:spacing w:after="0" w:line="240" w:lineRule="auto"/>
      <w:ind w:left="684" w:hanging="5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4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1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E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D1A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62D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D1A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D1A"/>
    <w:pPr>
      <w:widowControl w:val="0"/>
      <w:autoSpaceDE w:val="0"/>
      <w:autoSpaceDN w:val="0"/>
      <w:spacing w:before="4" w:after="0" w:line="240" w:lineRule="auto"/>
      <w:ind w:left="28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D8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69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7539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733462">
              <w:marLeft w:val="0"/>
              <w:marRight w:val="0"/>
              <w:marTop w:val="100"/>
              <w:marBottom w:val="100"/>
              <w:divBdr>
                <w:top w:val="dashed" w:sz="6" w:space="0" w:color="A8A8A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0463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386028">
              <w:marLeft w:val="0"/>
              <w:marRight w:val="0"/>
              <w:marTop w:val="100"/>
              <w:marBottom w:val="100"/>
              <w:divBdr>
                <w:top w:val="dashed" w:sz="6" w:space="0" w:color="A8A8A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3786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Srino Bharam</dc:creator>
  <cp:keywords/>
  <dc:description/>
  <cp:lastModifiedBy>Peter Radz</cp:lastModifiedBy>
  <cp:revision>2</cp:revision>
  <dcterms:created xsi:type="dcterms:W3CDTF">2021-04-14T16:12:00Z</dcterms:created>
  <dcterms:modified xsi:type="dcterms:W3CDTF">2021-04-14T16:12:00Z</dcterms:modified>
</cp:coreProperties>
</file>